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63" w:rsidRPr="003531E9" w:rsidRDefault="009B60C9" w:rsidP="003531E9">
      <w:pPr>
        <w:jc w:val="center"/>
        <w:rPr>
          <w:b/>
          <w:sz w:val="36"/>
        </w:rPr>
      </w:pPr>
      <w:r>
        <w:rPr>
          <w:b/>
          <w:sz w:val="36"/>
        </w:rPr>
        <w:t>Souhrnná a</w:t>
      </w:r>
      <w:r w:rsidR="0096497C" w:rsidRPr="003531E9">
        <w:rPr>
          <w:b/>
          <w:sz w:val="36"/>
        </w:rPr>
        <w:t>nalýza přínosů CSS</w:t>
      </w:r>
      <w:r>
        <w:rPr>
          <w:b/>
          <w:sz w:val="36"/>
        </w:rPr>
        <w:t xml:space="preserve"> Mikroregion Bystřicko</w:t>
      </w:r>
      <w:r w:rsidR="0096497C" w:rsidRPr="003531E9">
        <w:rPr>
          <w:b/>
          <w:sz w:val="36"/>
        </w:rPr>
        <w:t xml:space="preserve"> – </w:t>
      </w:r>
      <w:r w:rsidR="00CC0A11">
        <w:rPr>
          <w:b/>
          <w:sz w:val="36"/>
        </w:rPr>
        <w:t xml:space="preserve">Veřejné zakázky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97631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16EF1" w:rsidRDefault="00A16EF1">
          <w:pPr>
            <w:pStyle w:val="Nadpisobsahu"/>
          </w:pPr>
          <w:r w:rsidRPr="00B37331">
            <w:rPr>
              <w:u w:val="single"/>
            </w:rPr>
            <w:t>Obsah</w:t>
          </w:r>
        </w:p>
        <w:p w:rsidR="00E833FB" w:rsidRDefault="00A16EF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249849" w:history="1">
            <w:r w:rsidR="00E833FB" w:rsidRPr="006E5176">
              <w:rPr>
                <w:rStyle w:val="Hypertextovodkaz"/>
                <w:b/>
                <w:noProof/>
              </w:rPr>
              <w:t>Základní informace o Mikroregionu Bystřicko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_Toc2249849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1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E833FB" w:rsidRDefault="0062517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249850" w:history="1">
            <w:r w:rsidR="00E833FB" w:rsidRPr="006E5176">
              <w:rPr>
                <w:rStyle w:val="Hypertextovodkaz"/>
                <w:b/>
                <w:noProof/>
              </w:rPr>
              <w:t>Začátky CSS v oblasti veřejných zakázek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_Toc2249850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2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E833FB" w:rsidRDefault="0062517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249851" w:history="1">
            <w:r w:rsidR="00E833FB" w:rsidRPr="006E5176">
              <w:rPr>
                <w:rStyle w:val="Hypertextovodkaz"/>
                <w:b/>
                <w:noProof/>
              </w:rPr>
              <w:t>Popis aktuálního stavu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_Toc2249851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2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E833FB" w:rsidRDefault="0062517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249852" w:history="1">
            <w:r w:rsidR="00E833FB" w:rsidRPr="006E5176">
              <w:rPr>
                <w:rStyle w:val="Hypertextovodkaz"/>
                <w:b/>
                <w:noProof/>
              </w:rPr>
              <w:t>Analýza původního a aktuálního stavu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_Toc2249852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2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E833FB" w:rsidRDefault="0062517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249853" w:history="1">
            <w:r w:rsidR="00E833FB" w:rsidRPr="006E5176">
              <w:rPr>
                <w:rStyle w:val="Hypertextovodkaz"/>
                <w:b/>
                <w:noProof/>
              </w:rPr>
              <w:t>Analýza původního stavu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_Toc2249853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2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E833FB" w:rsidRDefault="0062517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249854" w:history="1">
            <w:r w:rsidR="00E833FB" w:rsidRPr="006E5176">
              <w:rPr>
                <w:rStyle w:val="Hypertextovodkaz"/>
                <w:b/>
                <w:noProof/>
              </w:rPr>
              <w:t>Analýza aktuálního stavu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_Toc2249854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3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E833FB" w:rsidRDefault="0062517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249855" w:history="1">
            <w:r w:rsidR="00E833FB" w:rsidRPr="006E5176">
              <w:rPr>
                <w:rStyle w:val="Hypertextovodkaz"/>
                <w:b/>
                <w:noProof/>
              </w:rPr>
              <w:t>Příklad úspory financí díky agendě VZ prostřednictvím CSS: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_Toc2249855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3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E833FB" w:rsidRDefault="0062517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249856" w:history="1">
            <w:r w:rsidR="00E833FB" w:rsidRPr="006E5176">
              <w:rPr>
                <w:rStyle w:val="Hypertextovodkaz"/>
                <w:b/>
                <w:noProof/>
              </w:rPr>
              <w:t>Zhodnocení přínosů v oblasti VZ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_Toc2249856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4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E833FB" w:rsidRDefault="0062517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249857" w:history="1">
            <w:r w:rsidR="00E833FB" w:rsidRPr="006E5176">
              <w:rPr>
                <w:rStyle w:val="Hypertextovodkaz"/>
                <w:b/>
                <w:noProof/>
              </w:rPr>
              <w:t>Zhodnocení celkových přínosů CSS ze všech analýz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_Toc2249857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4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E833FB" w:rsidRDefault="0062517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249858" w:history="1">
            <w:r w:rsidR="00E833FB" w:rsidRPr="006E5176">
              <w:rPr>
                <w:rStyle w:val="Hypertextovodkaz"/>
                <w:b/>
                <w:noProof/>
              </w:rPr>
              <w:t>Příklady úspor v rámci fungování CSS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_Toc2249858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5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E833FB" w:rsidRDefault="0062517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249859" w:history="1">
            <w:r w:rsidR="00E833FB" w:rsidRPr="006E5176">
              <w:rPr>
                <w:rStyle w:val="Hypertextovodkaz"/>
                <w:noProof/>
              </w:rPr>
              <w:t>Pravidelné setkávání zástupců obcí - 2016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_Toc2249859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5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E833FB" w:rsidRDefault="0062517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249860" w:history="1">
            <w:r w:rsidR="00E833FB" w:rsidRPr="006E5176">
              <w:rPr>
                <w:rStyle w:val="Hypertextovodkaz"/>
                <w:noProof/>
              </w:rPr>
              <w:t>Dotační poradenství za rok 2017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_Toc2249860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6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E833FB" w:rsidRDefault="0062517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249861" w:history="1">
            <w:r w:rsidR="00E833FB" w:rsidRPr="006E5176">
              <w:rPr>
                <w:rStyle w:val="Hypertextovodkaz"/>
                <w:noProof/>
              </w:rPr>
              <w:t>1) Personální přínos: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_Toc2249861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6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E833FB" w:rsidRDefault="0062517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249862" w:history="1">
            <w:r w:rsidR="00E833FB" w:rsidRPr="006E5176">
              <w:rPr>
                <w:rStyle w:val="Hypertextovodkaz"/>
                <w:noProof/>
              </w:rPr>
              <w:t>2) Časový přínos: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_Toc2249862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6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E833FB" w:rsidRDefault="0062517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249863" w:history="1">
            <w:r w:rsidR="00E833FB" w:rsidRPr="006E5176">
              <w:rPr>
                <w:rStyle w:val="Hypertextovodkaz"/>
                <w:noProof/>
              </w:rPr>
              <w:t>3) Finanční přínos: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_Toc2249863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6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E833FB" w:rsidRDefault="0062517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249864" w:history="1">
            <w:r w:rsidR="00E833FB" w:rsidRPr="006E5176">
              <w:rPr>
                <w:rStyle w:val="Hypertextovodkaz"/>
                <w:noProof/>
              </w:rPr>
              <w:t>GDPR 2018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_Toc2249864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6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E833FB" w:rsidRDefault="0062517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249865" w:history="1">
            <w:r w:rsidR="00E833FB" w:rsidRPr="006E5176">
              <w:rPr>
                <w:rStyle w:val="Hypertextovodkaz"/>
                <w:noProof/>
              </w:rPr>
              <w:t>1) Úspora pro malou obec díky sdílenému pověřenci pro ochranu osobních údajů.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_Toc2249865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6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E833FB" w:rsidRDefault="0062517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249866" w:history="1">
            <w:r w:rsidR="00E833FB" w:rsidRPr="006E5176">
              <w:rPr>
                <w:rStyle w:val="Hypertextovodkaz"/>
                <w:noProof/>
              </w:rPr>
              <w:t>2) Úspora pro velkou obec díky sdílenému pověřenci pro ochranu osobních údajů.</w:t>
            </w:r>
            <w:r w:rsidR="00E833FB">
              <w:rPr>
                <w:noProof/>
                <w:webHidden/>
              </w:rPr>
              <w:tab/>
            </w:r>
            <w:r w:rsidR="00E833FB">
              <w:rPr>
                <w:noProof/>
                <w:webHidden/>
              </w:rPr>
              <w:fldChar w:fldCharType="begin"/>
            </w:r>
            <w:r w:rsidR="00E833FB">
              <w:rPr>
                <w:noProof/>
                <w:webHidden/>
              </w:rPr>
              <w:instrText xml:space="preserve"> PAGEREF _Toc2249866 \h </w:instrText>
            </w:r>
            <w:r w:rsidR="00E833FB">
              <w:rPr>
                <w:noProof/>
                <w:webHidden/>
              </w:rPr>
            </w:r>
            <w:r w:rsidR="00E833FB">
              <w:rPr>
                <w:noProof/>
                <w:webHidden/>
              </w:rPr>
              <w:fldChar w:fldCharType="separate"/>
            </w:r>
            <w:r w:rsidR="00E833FB">
              <w:rPr>
                <w:noProof/>
                <w:webHidden/>
              </w:rPr>
              <w:t>7</w:t>
            </w:r>
            <w:r w:rsidR="00E833FB">
              <w:rPr>
                <w:noProof/>
                <w:webHidden/>
              </w:rPr>
              <w:fldChar w:fldCharType="end"/>
            </w:r>
          </w:hyperlink>
        </w:p>
        <w:p w:rsidR="00A16EF1" w:rsidRDefault="00A16EF1">
          <w:r>
            <w:rPr>
              <w:b/>
              <w:bCs/>
            </w:rPr>
            <w:fldChar w:fldCharType="end"/>
          </w:r>
        </w:p>
      </w:sdtContent>
    </w:sdt>
    <w:p w:rsidR="00A16EF1" w:rsidRPr="00195F45" w:rsidRDefault="00A16EF1" w:rsidP="00195F45">
      <w:pPr>
        <w:jc w:val="center"/>
        <w:rPr>
          <w:b/>
          <w:sz w:val="28"/>
        </w:rPr>
      </w:pPr>
    </w:p>
    <w:p w:rsidR="0096497C" w:rsidRPr="00A16EF1" w:rsidRDefault="001B13A0" w:rsidP="00A16EF1">
      <w:pPr>
        <w:pStyle w:val="Nadpis1"/>
        <w:rPr>
          <w:b/>
        </w:rPr>
      </w:pPr>
      <w:bookmarkStart w:id="0" w:name="_Toc2249849"/>
      <w:r>
        <w:rPr>
          <w:b/>
        </w:rPr>
        <w:t>Základní informace o Mikroregionu Bystřicko</w:t>
      </w:r>
      <w:bookmarkEnd w:id="0"/>
    </w:p>
    <w:p w:rsidR="008A5175" w:rsidRDefault="009262F7" w:rsidP="00BF7D0C">
      <w:pPr>
        <w:jc w:val="both"/>
        <w:rPr>
          <w:sz w:val="24"/>
        </w:rPr>
      </w:pPr>
      <w:r>
        <w:rPr>
          <w:sz w:val="24"/>
        </w:rPr>
        <w:t xml:space="preserve">Mikroregion Bystřicko vznikl v květnu roku 2000. Od svého založení do roku 2001 byl </w:t>
      </w:r>
      <w:r w:rsidR="00BF7D0C">
        <w:rPr>
          <w:sz w:val="24"/>
        </w:rPr>
        <w:t>M</w:t>
      </w:r>
      <w:r>
        <w:rPr>
          <w:sz w:val="24"/>
        </w:rPr>
        <w:t xml:space="preserve">ikroregion sdružením právnických osob, což znamenalo, že jeho členem se mohl stát i jiný právní subjekt než obec. </w:t>
      </w:r>
      <w:r w:rsidR="0045070A" w:rsidRPr="0045070A">
        <w:rPr>
          <w:sz w:val="24"/>
        </w:rPr>
        <w:t>V roce 2001 se však mikroregion Bystřicko v souladu se zákonem č. 128/2000 Sb. o obcích transformoval na svazek obcí, v té době m</w:t>
      </w:r>
      <w:r w:rsidR="0045070A">
        <w:rPr>
          <w:sz w:val="24"/>
        </w:rPr>
        <w:t>ěl mikroregion 32 členů. P</w:t>
      </w:r>
      <w:r w:rsidR="00063F8E">
        <w:rPr>
          <w:sz w:val="24"/>
        </w:rPr>
        <w:t>ostupem času se rozrost</w:t>
      </w:r>
      <w:r w:rsidR="00BF7D0C">
        <w:rPr>
          <w:sz w:val="24"/>
        </w:rPr>
        <w:t>l</w:t>
      </w:r>
      <w:r w:rsidR="00063F8E">
        <w:rPr>
          <w:sz w:val="24"/>
        </w:rPr>
        <w:t xml:space="preserve"> o další členy až na </w:t>
      </w:r>
      <w:r w:rsidR="00063F8E" w:rsidRPr="0045070A">
        <w:rPr>
          <w:b/>
          <w:sz w:val="24"/>
        </w:rPr>
        <w:t>38 členů</w:t>
      </w:r>
      <w:r w:rsidR="00063F8E">
        <w:rPr>
          <w:sz w:val="24"/>
        </w:rPr>
        <w:t xml:space="preserve">. Tento počet členů si udržuje až do současnosti. Nejvyšším orgánem svazku je </w:t>
      </w:r>
      <w:r w:rsidR="00BF7D0C" w:rsidRPr="0045070A">
        <w:rPr>
          <w:b/>
          <w:sz w:val="24"/>
        </w:rPr>
        <w:t>Č</w:t>
      </w:r>
      <w:r w:rsidR="00063F8E" w:rsidRPr="0045070A">
        <w:rPr>
          <w:b/>
          <w:sz w:val="24"/>
        </w:rPr>
        <w:t>lenská schůze</w:t>
      </w:r>
      <w:r w:rsidR="00063F8E">
        <w:rPr>
          <w:sz w:val="24"/>
        </w:rPr>
        <w:t xml:space="preserve">, zde jsou členské obce zastoupeny statutárními zástupci nebo jinou pověřenou osobou. Členské schůzi je vyhrazena pravomoc rozhodovat o </w:t>
      </w:r>
      <w:r w:rsidR="00BF7D0C">
        <w:rPr>
          <w:sz w:val="24"/>
        </w:rPr>
        <w:t>nejdůležitějších záležitostech M</w:t>
      </w:r>
      <w:r w:rsidR="00063F8E">
        <w:rPr>
          <w:sz w:val="24"/>
        </w:rPr>
        <w:t>ikroregionu</w:t>
      </w:r>
      <w:r w:rsidR="00BF7D0C">
        <w:rPr>
          <w:sz w:val="24"/>
        </w:rPr>
        <w:t xml:space="preserve"> Bystřicko</w:t>
      </w:r>
      <w:r w:rsidR="00063F8E">
        <w:rPr>
          <w:sz w:val="24"/>
        </w:rPr>
        <w:t xml:space="preserve">. Například schvalování rozpočtu, schválení programu rozvoje mikroregionu a další. Mikroregion má i své </w:t>
      </w:r>
      <w:r w:rsidR="00BF7D0C" w:rsidRPr="0045070A">
        <w:rPr>
          <w:b/>
          <w:sz w:val="24"/>
        </w:rPr>
        <w:t>P</w:t>
      </w:r>
      <w:r w:rsidR="00063F8E" w:rsidRPr="0045070A">
        <w:rPr>
          <w:b/>
          <w:sz w:val="24"/>
        </w:rPr>
        <w:t>ředsednictvo</w:t>
      </w:r>
      <w:r w:rsidR="00063F8E">
        <w:rPr>
          <w:sz w:val="24"/>
        </w:rPr>
        <w:t>, které tvoří statutární zástupci devíti členských obcí.</w:t>
      </w:r>
      <w:r w:rsidR="00B637FE">
        <w:rPr>
          <w:sz w:val="24"/>
        </w:rPr>
        <w:t xml:space="preserve"> Z počátku své existence </w:t>
      </w:r>
      <w:r w:rsidR="00B637FE">
        <w:rPr>
          <w:sz w:val="24"/>
        </w:rPr>
        <w:lastRenderedPageBreak/>
        <w:t xml:space="preserve">byl </w:t>
      </w:r>
      <w:r w:rsidR="00BF7D0C">
        <w:rPr>
          <w:sz w:val="24"/>
        </w:rPr>
        <w:t>M</w:t>
      </w:r>
      <w:r w:rsidR="00B637FE">
        <w:rPr>
          <w:sz w:val="24"/>
        </w:rPr>
        <w:t>ikroregion spravován za pomoci města</w:t>
      </w:r>
      <w:r w:rsidR="00BF7D0C">
        <w:rPr>
          <w:sz w:val="24"/>
        </w:rPr>
        <w:t xml:space="preserve"> Bystřice nad Pernštejnem, které na jeho správu vyčlenilo</w:t>
      </w:r>
      <w:r w:rsidR="00B637FE">
        <w:rPr>
          <w:sz w:val="24"/>
        </w:rPr>
        <w:t xml:space="preserve"> část pracovní doby svého zaměstnance. V roce 2004 bylo </w:t>
      </w:r>
      <w:r w:rsidR="00BF7D0C">
        <w:rPr>
          <w:sz w:val="24"/>
        </w:rPr>
        <w:t>Členskou schůzí</w:t>
      </w:r>
      <w:r w:rsidR="00B637FE">
        <w:rPr>
          <w:sz w:val="24"/>
        </w:rPr>
        <w:t xml:space="preserve"> rozhodnuto</w:t>
      </w:r>
      <w:r w:rsidR="00BF7D0C">
        <w:rPr>
          <w:sz w:val="24"/>
        </w:rPr>
        <w:t>, že dosavadní spravování M</w:t>
      </w:r>
      <w:r w:rsidR="00B637FE">
        <w:rPr>
          <w:sz w:val="24"/>
        </w:rPr>
        <w:t>ikro</w:t>
      </w:r>
      <w:r w:rsidR="00BF7D0C">
        <w:rPr>
          <w:sz w:val="24"/>
        </w:rPr>
        <w:t>regionu je velmi časově náročné, proto dojde ke přijetí</w:t>
      </w:r>
      <w:r w:rsidR="00B637FE">
        <w:rPr>
          <w:sz w:val="24"/>
        </w:rPr>
        <w:t xml:space="preserve"> zaměstnance,</w:t>
      </w:r>
      <w:r w:rsidR="00BF7D0C">
        <w:rPr>
          <w:sz w:val="24"/>
        </w:rPr>
        <w:t xml:space="preserve"> který se bude starat o správu M</w:t>
      </w:r>
      <w:r w:rsidR="00B637FE">
        <w:rPr>
          <w:sz w:val="24"/>
        </w:rPr>
        <w:t>ikroregionu a vyřizovat veškerou běžnou agendu.</w:t>
      </w:r>
      <w:r w:rsidR="00BF7D0C">
        <w:rPr>
          <w:sz w:val="24"/>
        </w:rPr>
        <w:t xml:space="preserve"> Od roku 2006 zde tedy pracuje jeden stálý zaměstnanec.  </w:t>
      </w:r>
    </w:p>
    <w:p w:rsidR="007505DA" w:rsidRDefault="007505DA" w:rsidP="00A16EF1">
      <w:pPr>
        <w:pStyle w:val="Nadpis2"/>
        <w:rPr>
          <w:b/>
        </w:rPr>
      </w:pPr>
    </w:p>
    <w:p w:rsidR="00F63A0F" w:rsidRPr="00A16EF1" w:rsidRDefault="007B1ACF" w:rsidP="007B1ACF">
      <w:pPr>
        <w:pStyle w:val="Nadpis1"/>
        <w:rPr>
          <w:b/>
        </w:rPr>
      </w:pPr>
      <w:bookmarkStart w:id="1" w:name="_Toc2249850"/>
      <w:r>
        <w:rPr>
          <w:b/>
        </w:rPr>
        <w:t>Začátky CSS v oblasti veřejných zakázek</w:t>
      </w:r>
      <w:bookmarkEnd w:id="1"/>
    </w:p>
    <w:p w:rsidR="00F63A0F" w:rsidRDefault="007505DA" w:rsidP="00597A4C">
      <w:pPr>
        <w:jc w:val="both"/>
        <w:rPr>
          <w:sz w:val="24"/>
        </w:rPr>
      </w:pPr>
      <w:r>
        <w:rPr>
          <w:sz w:val="24"/>
        </w:rPr>
        <w:t xml:space="preserve">V rámci centra společných služeb vznikl </w:t>
      </w:r>
      <w:r w:rsidR="004F1AE0">
        <w:rPr>
          <w:sz w:val="24"/>
        </w:rPr>
        <w:t xml:space="preserve">díky projektu </w:t>
      </w:r>
      <w:r w:rsidR="00B70198">
        <w:rPr>
          <w:sz w:val="24"/>
        </w:rPr>
        <w:t xml:space="preserve">od května roku 2017 </w:t>
      </w:r>
      <w:r>
        <w:rPr>
          <w:sz w:val="24"/>
        </w:rPr>
        <w:t>částečný úvazek pro specialistu na veřejné zakázky, který byl rozdělen mezi dva stávající zaměstnance centra</w:t>
      </w:r>
      <w:r w:rsidR="007A6928">
        <w:rPr>
          <w:sz w:val="24"/>
        </w:rPr>
        <w:t>,</w:t>
      </w:r>
      <w:r>
        <w:rPr>
          <w:sz w:val="24"/>
        </w:rPr>
        <w:t xml:space="preserve"> </w:t>
      </w:r>
      <w:r w:rsidR="009B006F">
        <w:rPr>
          <w:sz w:val="24"/>
        </w:rPr>
        <w:t>čímž byla zajištěna i zastupitelnost</w:t>
      </w:r>
      <w:r>
        <w:rPr>
          <w:sz w:val="24"/>
        </w:rPr>
        <w:t xml:space="preserve"> této nové služby pro naše členské obce. </w:t>
      </w:r>
      <w:r w:rsidR="007A6928">
        <w:rPr>
          <w:sz w:val="24"/>
        </w:rPr>
        <w:t xml:space="preserve">Zaměstnanci absolvovali </w:t>
      </w:r>
      <w:r w:rsidR="00B70198">
        <w:rPr>
          <w:sz w:val="24"/>
        </w:rPr>
        <w:t xml:space="preserve">a stále průběžně absolvují </w:t>
      </w:r>
      <w:r w:rsidR="007A6928">
        <w:rPr>
          <w:sz w:val="24"/>
        </w:rPr>
        <w:t xml:space="preserve">několik školení </w:t>
      </w:r>
      <w:r w:rsidR="009B006F">
        <w:rPr>
          <w:sz w:val="24"/>
        </w:rPr>
        <w:t xml:space="preserve">nejen </w:t>
      </w:r>
      <w:r w:rsidR="007A6928">
        <w:rPr>
          <w:sz w:val="24"/>
        </w:rPr>
        <w:t>z oblasti veřejných zakázek malého rozsahu</w:t>
      </w:r>
      <w:r w:rsidR="009B006F">
        <w:rPr>
          <w:sz w:val="24"/>
        </w:rPr>
        <w:t xml:space="preserve">, ale i zákonných zakázek a také jejich elektronizace, která je pro obce povinná od loňského roku, a odpovědného zadávání veřejných zakázek. </w:t>
      </w:r>
      <w:r w:rsidR="00B70198">
        <w:rPr>
          <w:sz w:val="24"/>
        </w:rPr>
        <w:t>Zaměstnanci se také účastnili</w:t>
      </w:r>
      <w:r w:rsidR="007A6928">
        <w:rPr>
          <w:sz w:val="24"/>
        </w:rPr>
        <w:t xml:space="preserve"> odborné stáž</w:t>
      </w:r>
      <w:r w:rsidR="00412832">
        <w:rPr>
          <w:sz w:val="24"/>
        </w:rPr>
        <w:t>e</w:t>
      </w:r>
      <w:r w:rsidR="007A6928">
        <w:rPr>
          <w:sz w:val="24"/>
        </w:rPr>
        <w:t>, kterou absolvovali v Nemocnici Nové Město na Moravě</w:t>
      </w:r>
      <w:r w:rsidR="009B006F">
        <w:rPr>
          <w:sz w:val="24"/>
        </w:rPr>
        <w:t>, kde se však spíše seznámili se zakázkami většími</w:t>
      </w:r>
      <w:r w:rsidR="00B70198">
        <w:rPr>
          <w:sz w:val="24"/>
        </w:rPr>
        <w:t>, a to velmi okrajově vzhledem k rozsahu agendy, kterou tento zadavatel zpracovává</w:t>
      </w:r>
      <w:r w:rsidR="009B006F">
        <w:rPr>
          <w:sz w:val="24"/>
        </w:rPr>
        <w:t>.</w:t>
      </w:r>
      <w:r w:rsidR="00B70198">
        <w:rPr>
          <w:sz w:val="24"/>
        </w:rPr>
        <w:t xml:space="preserve"> Stáž tak probíhala spíše na teoretické úrovni, i tak byla pro zaměstnance začínající se v této problematice postupně orientovat velice přínosná. </w:t>
      </w:r>
    </w:p>
    <w:p w:rsidR="0096497C" w:rsidRPr="00A16EF1" w:rsidRDefault="0096497C" w:rsidP="00A16EF1">
      <w:pPr>
        <w:pStyle w:val="Nadpis1"/>
        <w:rPr>
          <w:b/>
        </w:rPr>
      </w:pPr>
      <w:bookmarkStart w:id="2" w:name="_Toc2249851"/>
      <w:r w:rsidRPr="00A16EF1">
        <w:rPr>
          <w:b/>
        </w:rPr>
        <w:t>Popis aktuálního stavu</w:t>
      </w:r>
      <w:bookmarkEnd w:id="2"/>
    </w:p>
    <w:p w:rsidR="00BA7762" w:rsidRPr="00EB600F" w:rsidRDefault="00597A4C" w:rsidP="007A6928">
      <w:pPr>
        <w:jc w:val="both"/>
        <w:rPr>
          <w:sz w:val="24"/>
        </w:rPr>
      </w:pPr>
      <w:r>
        <w:rPr>
          <w:sz w:val="24"/>
        </w:rPr>
        <w:t>V současné době má M</w:t>
      </w:r>
      <w:r w:rsidR="00B637FE">
        <w:rPr>
          <w:sz w:val="24"/>
        </w:rPr>
        <w:t>ikroregion Bystřicko 38 členů</w:t>
      </w:r>
      <w:r w:rsidR="009641D8">
        <w:rPr>
          <w:sz w:val="24"/>
        </w:rPr>
        <w:t>, kterým je tato služba nabízena opakovaně v rámci společných setkání</w:t>
      </w:r>
      <w:r w:rsidR="00B637FE">
        <w:rPr>
          <w:sz w:val="24"/>
        </w:rPr>
        <w:t xml:space="preserve">. Díky projektu Svazu měst a obcí </w:t>
      </w:r>
      <w:r>
        <w:rPr>
          <w:sz w:val="24"/>
        </w:rPr>
        <w:t xml:space="preserve">Centra společných služeb </w:t>
      </w:r>
      <w:r w:rsidR="00B637FE">
        <w:rPr>
          <w:sz w:val="24"/>
        </w:rPr>
        <w:t>jsou zde</w:t>
      </w:r>
      <w:r w:rsidR="0023106B">
        <w:rPr>
          <w:sz w:val="24"/>
        </w:rPr>
        <w:t xml:space="preserve"> </w:t>
      </w:r>
      <w:r w:rsidR="0062517C">
        <w:rPr>
          <w:sz w:val="24"/>
        </w:rPr>
        <w:t>čtyři</w:t>
      </w:r>
      <w:bookmarkStart w:id="3" w:name="_GoBack"/>
      <w:bookmarkEnd w:id="3"/>
      <w:r w:rsidR="00B637FE">
        <w:rPr>
          <w:sz w:val="24"/>
        </w:rPr>
        <w:t xml:space="preserve"> zaměstnanci, kteří se starají o poskytování </w:t>
      </w:r>
      <w:r w:rsidR="004A7E1C">
        <w:rPr>
          <w:sz w:val="24"/>
        </w:rPr>
        <w:t xml:space="preserve">kompletního </w:t>
      </w:r>
      <w:r w:rsidR="00B637FE">
        <w:rPr>
          <w:sz w:val="24"/>
        </w:rPr>
        <w:t>servisu zástupcům jednotlivých obcí.</w:t>
      </w:r>
      <w:r w:rsidR="00E20797">
        <w:rPr>
          <w:sz w:val="24"/>
        </w:rPr>
        <w:t xml:space="preserve"> </w:t>
      </w:r>
      <w:r w:rsidR="004A7E1C">
        <w:rPr>
          <w:sz w:val="24"/>
        </w:rPr>
        <w:t xml:space="preserve">Oblastí veřejných zakázek se zabývají dva zaměstnanci, kteří až do nedávna obcím poskytovali v této oblasti zejména metodické vedení a poradenskou činnost. </w:t>
      </w:r>
      <w:r w:rsidR="00E20797">
        <w:rPr>
          <w:sz w:val="24"/>
        </w:rPr>
        <w:t xml:space="preserve">V současné době je </w:t>
      </w:r>
      <w:r w:rsidR="005C77E9">
        <w:rPr>
          <w:sz w:val="24"/>
        </w:rPr>
        <w:t xml:space="preserve">nedílnou součástí </w:t>
      </w:r>
      <w:r w:rsidR="004A7E1C">
        <w:rPr>
          <w:sz w:val="24"/>
        </w:rPr>
        <w:t>této agendy také kompletní zpracování agendy VZMR, tzn. vypracování zadávací dokumentace včetně jejích příloh až po vyhodnocení nabídek včetně všech dokumentů, které jsou k závěrečnému hodnocení potřeba.</w:t>
      </w:r>
      <w:r w:rsidR="00E032E8">
        <w:rPr>
          <w:sz w:val="24"/>
        </w:rPr>
        <w:t xml:space="preserve"> Svazek se také zabývá problematikou přímých nákupů a vyhledáváním vhodných dodavatelů.</w:t>
      </w:r>
      <w:r w:rsidR="004A7E1C">
        <w:rPr>
          <w:sz w:val="24"/>
        </w:rPr>
        <w:t xml:space="preserve"> Tyto podklady jsou zpracovávány sice nově</w:t>
      </w:r>
      <w:r w:rsidR="00D62493">
        <w:rPr>
          <w:sz w:val="24"/>
        </w:rPr>
        <w:t xml:space="preserve"> (chvíli trvalo, než si naše CSS vybudovalo důvěru u této nové služby)</w:t>
      </w:r>
      <w:r w:rsidR="004A7E1C">
        <w:rPr>
          <w:sz w:val="24"/>
        </w:rPr>
        <w:t>, ale předpokladem je, že i tato agenda bude v následujících měsících značně narůstat</w:t>
      </w:r>
      <w:r w:rsidR="007B1ACF">
        <w:rPr>
          <w:sz w:val="24"/>
        </w:rPr>
        <w:t xml:space="preserve"> stejně jako ty předešlé. </w:t>
      </w:r>
    </w:p>
    <w:p w:rsidR="0096497C" w:rsidRPr="00A16EF1" w:rsidRDefault="0096497C" w:rsidP="00A16EF1">
      <w:pPr>
        <w:pStyle w:val="Nadpis1"/>
        <w:rPr>
          <w:b/>
        </w:rPr>
      </w:pPr>
      <w:bookmarkStart w:id="4" w:name="_Toc2249852"/>
      <w:r w:rsidRPr="00A16EF1">
        <w:rPr>
          <w:b/>
        </w:rPr>
        <w:t>Analýza původního a aktuálního stavu</w:t>
      </w:r>
      <w:bookmarkEnd w:id="4"/>
    </w:p>
    <w:p w:rsidR="001D7659" w:rsidRPr="00A16EF1" w:rsidRDefault="001D7659" w:rsidP="00A16EF1">
      <w:pPr>
        <w:pStyle w:val="Nadpis2"/>
        <w:rPr>
          <w:b/>
        </w:rPr>
      </w:pPr>
      <w:bookmarkStart w:id="5" w:name="_Toc2249853"/>
      <w:r w:rsidRPr="00A16EF1">
        <w:rPr>
          <w:b/>
        </w:rPr>
        <w:t>Analýza původního stavu</w:t>
      </w:r>
      <w:bookmarkEnd w:id="5"/>
    </w:p>
    <w:p w:rsidR="005B7A80" w:rsidRDefault="00332E9C" w:rsidP="00C5789F">
      <w:pPr>
        <w:jc w:val="both"/>
        <w:rPr>
          <w:sz w:val="24"/>
        </w:rPr>
      </w:pPr>
      <w:r>
        <w:rPr>
          <w:sz w:val="24"/>
        </w:rPr>
        <w:t xml:space="preserve">Před zahájením projektu Center společných služeb nebylo poskytováno žádné poradenství či další služby </w:t>
      </w:r>
      <w:r w:rsidR="005073C8">
        <w:rPr>
          <w:sz w:val="24"/>
        </w:rPr>
        <w:t xml:space="preserve">spojené s veřejnými zakázkami. Naše DSO poskytovalo služby poradenské v oblasti dotačního managementu, provádělo propagaci území a také bylo organizátorem vlastních projektů jako například Bystřicko čte dětem, Putovní letní kino, Hry bez hranic a další. </w:t>
      </w:r>
      <w:r w:rsidR="00030A76">
        <w:rPr>
          <w:sz w:val="24"/>
        </w:rPr>
        <w:t>Zkušenosti</w:t>
      </w:r>
      <w:r w:rsidR="00C500B0">
        <w:rPr>
          <w:sz w:val="24"/>
        </w:rPr>
        <w:t xml:space="preserve"> s oblastí veřejných zakázek jako takových, s poradenstvím a</w:t>
      </w:r>
      <w:r w:rsidR="00030A76">
        <w:rPr>
          <w:sz w:val="24"/>
        </w:rPr>
        <w:t xml:space="preserve"> se zpracováním </w:t>
      </w:r>
      <w:r w:rsidR="00030A76">
        <w:rPr>
          <w:sz w:val="24"/>
        </w:rPr>
        <w:lastRenderedPageBreak/>
        <w:t xml:space="preserve">veřejných zakázek malého rozsahu neměl ani jeden zaměstnanec </w:t>
      </w:r>
      <w:r w:rsidR="00C500B0">
        <w:rPr>
          <w:sz w:val="24"/>
        </w:rPr>
        <w:t>Mikroregionu Bystřicko, ani následně vzniklého CSS</w:t>
      </w:r>
      <w:r w:rsidR="00030A76">
        <w:rPr>
          <w:sz w:val="24"/>
        </w:rPr>
        <w:t xml:space="preserve">. Všechny zkušenosti i znalosti v této oblasti jsou až z období realizace projektu CSS. </w:t>
      </w:r>
    </w:p>
    <w:p w:rsidR="005B7A80" w:rsidRPr="00A16EF1" w:rsidRDefault="005B7A80" w:rsidP="00A16EF1">
      <w:pPr>
        <w:pStyle w:val="Nadpis2"/>
        <w:rPr>
          <w:b/>
        </w:rPr>
      </w:pPr>
      <w:bookmarkStart w:id="6" w:name="_Toc2249854"/>
      <w:r w:rsidRPr="00A16EF1">
        <w:rPr>
          <w:b/>
        </w:rPr>
        <w:t>Analýza aktuálního stavu</w:t>
      </w:r>
      <w:bookmarkEnd w:id="6"/>
    </w:p>
    <w:p w:rsidR="00D07E36" w:rsidRDefault="0037350E" w:rsidP="00102954">
      <w:pPr>
        <w:spacing w:after="360"/>
        <w:jc w:val="both"/>
        <w:rPr>
          <w:sz w:val="24"/>
        </w:rPr>
      </w:pPr>
      <w:r>
        <w:rPr>
          <w:sz w:val="24"/>
        </w:rPr>
        <w:t xml:space="preserve">Od května 2017 má </w:t>
      </w:r>
      <w:r w:rsidR="005B7A80">
        <w:rPr>
          <w:sz w:val="24"/>
        </w:rPr>
        <w:t xml:space="preserve">naše CSS </w:t>
      </w:r>
      <w:r>
        <w:rPr>
          <w:sz w:val="24"/>
        </w:rPr>
        <w:t xml:space="preserve">dva zaměstnance na částečný úvazek na pozici specialista na veřejné zakázky. </w:t>
      </w:r>
      <w:r w:rsidR="00782AE0">
        <w:rPr>
          <w:sz w:val="24"/>
        </w:rPr>
        <w:t xml:space="preserve">Od této doby poskytujeme poradenství a </w:t>
      </w:r>
      <w:r w:rsidR="00AE1FF0">
        <w:rPr>
          <w:sz w:val="24"/>
        </w:rPr>
        <w:t xml:space="preserve">metodické vedení z oblasti veřejných zakázek obecně, dále </w:t>
      </w:r>
      <w:r w:rsidR="00782AE0">
        <w:rPr>
          <w:sz w:val="24"/>
        </w:rPr>
        <w:t>pomáháme členským obcím s</w:t>
      </w:r>
      <w:r w:rsidR="00AE1FF0">
        <w:rPr>
          <w:sz w:val="24"/>
        </w:rPr>
        <w:t> kompletním zpracováním</w:t>
      </w:r>
      <w:r w:rsidR="00782AE0">
        <w:rPr>
          <w:sz w:val="24"/>
        </w:rPr>
        <w:t xml:space="preserve"> zakáz</w:t>
      </w:r>
      <w:r w:rsidR="00AE1FF0">
        <w:rPr>
          <w:sz w:val="24"/>
        </w:rPr>
        <w:t>ek</w:t>
      </w:r>
      <w:r w:rsidR="00782AE0">
        <w:rPr>
          <w:sz w:val="24"/>
        </w:rPr>
        <w:t xml:space="preserve"> malého rozsahu. </w:t>
      </w:r>
      <w:r w:rsidR="001746BE">
        <w:rPr>
          <w:sz w:val="24"/>
        </w:rPr>
        <w:t xml:space="preserve">Od této doby máme v této oblasti zaznamenáno </w:t>
      </w:r>
      <w:r w:rsidR="00383CC3">
        <w:rPr>
          <w:sz w:val="24"/>
        </w:rPr>
        <w:t>47</w:t>
      </w:r>
      <w:r w:rsidR="001746BE">
        <w:rPr>
          <w:sz w:val="24"/>
        </w:rPr>
        <w:t xml:space="preserve"> aktivit. Nejčastěji šlo o konzultace či oslovení dodavatelů zboží či služeb</w:t>
      </w:r>
      <w:r w:rsidR="00CC46FF">
        <w:rPr>
          <w:sz w:val="24"/>
        </w:rPr>
        <w:t>, o vypracování vzorových dokumentů apod</w:t>
      </w:r>
      <w:r w:rsidR="001746BE">
        <w:rPr>
          <w:sz w:val="24"/>
        </w:rPr>
        <w:t xml:space="preserve">. </w:t>
      </w:r>
      <w:r w:rsidR="003D7F0F">
        <w:rPr>
          <w:sz w:val="24"/>
        </w:rPr>
        <w:t xml:space="preserve">V tabulce níže můžeme porovnat náklady, které má CSS se zpracováním VZ a v případě, kdyby si zakázku obec nechala zpracovat externí firmou. Informace o sazbě externí firmy je z internetového zdroje, který je též uveden níže pod tabulkou. </w:t>
      </w:r>
      <w:r w:rsidR="00092A1D">
        <w:rPr>
          <w:sz w:val="24"/>
        </w:rPr>
        <w:t xml:space="preserve">Nejčastější aktivitou je konzultace veřejné zakázky. </w:t>
      </w:r>
      <w:r w:rsidR="00F63F44">
        <w:rPr>
          <w:sz w:val="24"/>
        </w:rPr>
        <w:t>Členská schůze konaná 11.</w:t>
      </w:r>
      <w:r w:rsidR="00CC46FF">
        <w:rPr>
          <w:sz w:val="24"/>
        </w:rPr>
        <w:t xml:space="preserve"> </w:t>
      </w:r>
      <w:r w:rsidR="00F63F44">
        <w:rPr>
          <w:sz w:val="24"/>
        </w:rPr>
        <w:t xml:space="preserve">12. 2018 si schválila zavedení ceníku poskytovaných služeb s platností od 1.1. 2019 s tím, že ještě na březnové schůzi budou upřesněny některé položky, co vše zahrnují. </w:t>
      </w:r>
      <w:r w:rsidR="004520DA">
        <w:rPr>
          <w:sz w:val="24"/>
        </w:rPr>
        <w:t xml:space="preserve">Nově by tak mělo být vypracování </w:t>
      </w:r>
      <w:r w:rsidR="00362947">
        <w:rPr>
          <w:sz w:val="24"/>
        </w:rPr>
        <w:t xml:space="preserve">zadávací dokumentace pro VZMR včetně podkladů pro závěrečné hodnocení </w:t>
      </w:r>
      <w:r w:rsidR="004520DA">
        <w:rPr>
          <w:sz w:val="24"/>
        </w:rPr>
        <w:t>zpoplatněno</w:t>
      </w:r>
      <w:r w:rsidR="00362947">
        <w:rPr>
          <w:sz w:val="24"/>
        </w:rPr>
        <w:t xml:space="preserve"> dle ceníku a typu zakázky. </w:t>
      </w:r>
    </w:p>
    <w:p w:rsidR="00A04A82" w:rsidRPr="00886874" w:rsidRDefault="00A04A82" w:rsidP="00102954">
      <w:pPr>
        <w:pStyle w:val="Nadpis3"/>
        <w:spacing w:before="120"/>
        <w:rPr>
          <w:b/>
        </w:rPr>
      </w:pPr>
      <w:bookmarkStart w:id="7" w:name="_Toc2249855"/>
      <w:r w:rsidRPr="00886874">
        <w:rPr>
          <w:b/>
        </w:rPr>
        <w:t xml:space="preserve">Příklad úspory financí díky </w:t>
      </w:r>
      <w:r w:rsidR="000B5728">
        <w:rPr>
          <w:b/>
        </w:rPr>
        <w:t>agendě VZ prostřednictvím CSS</w:t>
      </w:r>
      <w:r w:rsidR="00A353D9" w:rsidRPr="00886874">
        <w:rPr>
          <w:b/>
        </w:rPr>
        <w:t>:</w:t>
      </w:r>
      <w:bookmarkEnd w:id="7"/>
    </w:p>
    <w:tbl>
      <w:tblPr>
        <w:tblW w:w="920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992"/>
        <w:gridCol w:w="1015"/>
        <w:gridCol w:w="1380"/>
        <w:gridCol w:w="1380"/>
        <w:gridCol w:w="1457"/>
        <w:gridCol w:w="1380"/>
      </w:tblGrid>
      <w:tr w:rsidR="00C8085B" w:rsidRPr="00BB3E2E" w:rsidTr="00AD6493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Předmět činnosti VZ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činností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Časová dotace</w:t>
            </w:r>
            <w:r w:rsidR="00AD64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 1 činnost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Náklady externě (1200 Kč/hod</w:t>
            </w:r>
            <w:r w:rsidR="005708E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školení </w:t>
            </w:r>
            <w:r w:rsidR="008C6C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75</w:t>
            </w:r>
            <w:r w:rsidR="005708E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 Kč/</w:t>
            </w:r>
            <w:r w:rsidR="008C6C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hodina</w:t>
            </w:r>
            <w:r w:rsidRPr="00BB3E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Náklady CSS (150 Kč/hod)</w:t>
            </w:r>
            <w:r w:rsidR="004A1FF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personální </w:t>
            </w:r>
            <w:r w:rsidRPr="00BB3E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85B" w:rsidRPr="00BB3E2E" w:rsidRDefault="00C8085B" w:rsidP="004A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Ceník služeb</w:t>
            </w:r>
            <w:r w:rsidR="000B5F1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(3 000 Kč/celá dokumentace; 1500 Kč/výzva nebo hodnocení)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Úspora </w:t>
            </w:r>
          </w:p>
        </w:tc>
      </w:tr>
      <w:tr w:rsidR="00C8085B" w:rsidRPr="00BB3E2E" w:rsidTr="0063513C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>Podklady pro hodnocení nabídek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134B4E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  <w:r w:rsidR="00B23C8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134B4E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8455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34B4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8455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 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r w:rsidR="00134B4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1076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134B4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107637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Kč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85B" w:rsidRPr="00BB3E2E" w:rsidRDefault="00134B4E" w:rsidP="00784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B00F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B00FB8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  <w:r w:rsidR="00C808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  <w:r w:rsidR="00134B4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134B4E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 Kč </w:t>
            </w:r>
          </w:p>
        </w:tc>
      </w:tr>
      <w:tr w:rsidR="00C8085B" w:rsidRPr="00BB3E2E" w:rsidTr="0063513C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>Podklady pro VZMR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134B4E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  <w:r w:rsidR="004B2A01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B2A0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</w:t>
            </w:r>
            <w:r w:rsidR="004B2A0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B2A01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 Kč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85B" w:rsidRPr="00BB3E2E" w:rsidRDefault="004B2A01" w:rsidP="00784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9A56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8085B">
              <w:rPr>
                <w:rFonts w:ascii="Calibri" w:eastAsia="Times New Roman" w:hAnsi="Calibri" w:cs="Calibri"/>
                <w:color w:val="000000"/>
                <w:lang w:eastAsia="cs-CZ"/>
              </w:rPr>
              <w:t>000 Kč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</w:t>
            </w:r>
            <w:r w:rsidR="004B2A01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B2A0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 Kč </w:t>
            </w:r>
          </w:p>
        </w:tc>
      </w:tr>
      <w:tr w:rsidR="00C8085B" w:rsidRPr="00BB3E2E" w:rsidTr="0063513C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>Zpracování výzvy k podání nabídek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  <w:r w:rsidR="007F2B14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F2B1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</w:t>
            </w:r>
            <w:r w:rsidR="007F2B1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F2B1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 Kč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85B" w:rsidRPr="00BB3E2E" w:rsidRDefault="00D123CC" w:rsidP="00784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6 000</w:t>
            </w:r>
            <w:r w:rsidR="00C808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  <w:r w:rsidR="00D123CC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F2B1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 Kč </w:t>
            </w:r>
          </w:p>
        </w:tc>
      </w:tr>
      <w:tr w:rsidR="00C8085B" w:rsidRPr="00BB3E2E" w:rsidTr="0063513C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>Plánování a příprava VZ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9 </w:t>
            </w:r>
            <w:r w:rsidR="0046724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</w:t>
            </w:r>
            <w:r w:rsidR="0046724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724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 Kč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85B" w:rsidRPr="00BB3E2E" w:rsidRDefault="00C8085B" w:rsidP="00784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  <w:r w:rsidR="00467246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724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 Kč </w:t>
            </w:r>
          </w:p>
        </w:tc>
      </w:tr>
      <w:tr w:rsidR="00C8085B" w:rsidRPr="00BB3E2E" w:rsidTr="0063513C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>VZMR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přímý nákup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362947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D55B7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  <w:r w:rsidR="00CD55B7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</w:t>
            </w:r>
            <w:r w:rsidR="00AE71E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E71E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 Kč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85B" w:rsidRPr="00BB3E2E" w:rsidRDefault="00C8085B" w:rsidP="00784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  <w:r w:rsidR="00456BE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56BE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 Kč </w:t>
            </w:r>
          </w:p>
        </w:tc>
      </w:tr>
      <w:tr w:rsidR="00362947" w:rsidRPr="00BB3E2E" w:rsidTr="0063513C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47" w:rsidRPr="00BB3E2E" w:rsidRDefault="00362947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Poradenství z oblasti VZ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947" w:rsidRPr="00BB3E2E" w:rsidRDefault="00362947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947" w:rsidRPr="00BB3E2E" w:rsidRDefault="001C20EE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947" w:rsidRPr="00BB3E2E" w:rsidRDefault="001C20EE" w:rsidP="001C2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6 600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947" w:rsidRPr="00BB3E2E" w:rsidRDefault="00294BDC" w:rsidP="0063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825</w:t>
            </w:r>
            <w:r w:rsidR="0063513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947" w:rsidRDefault="005708E5" w:rsidP="00784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947" w:rsidRPr="00BB3E2E" w:rsidRDefault="00294BDC" w:rsidP="00294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5 775 Kč</w:t>
            </w:r>
          </w:p>
        </w:tc>
      </w:tr>
      <w:tr w:rsidR="00362947" w:rsidRPr="00BB3E2E" w:rsidTr="0063513C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47" w:rsidRDefault="00362947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Školení VZ</w:t>
            </w:r>
            <w:r w:rsidR="005708E5"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947" w:rsidRPr="00BB3E2E" w:rsidRDefault="00362947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947" w:rsidRPr="00BB3E2E" w:rsidRDefault="005708E5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947" w:rsidRPr="00BB3E2E" w:rsidRDefault="008C6CC1" w:rsidP="0057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3 000</w:t>
            </w:r>
            <w:r w:rsidR="005708E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947" w:rsidRPr="00BB3E2E" w:rsidRDefault="005708E5" w:rsidP="0057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947" w:rsidRDefault="005708E5" w:rsidP="00784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947" w:rsidRPr="00BB3E2E" w:rsidRDefault="008C6CC1" w:rsidP="008C6C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2 400 Kč</w:t>
            </w:r>
          </w:p>
        </w:tc>
      </w:tr>
      <w:tr w:rsidR="00C8085B" w:rsidRPr="00BB3E2E" w:rsidTr="00784F6C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Konzultace VZ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36294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  <w:r w:rsidR="006362A5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362A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</w:t>
            </w:r>
            <w:r w:rsidR="006362A5">
              <w:rPr>
                <w:rFonts w:ascii="Calibri" w:eastAsia="Times New Roman" w:hAnsi="Calibri" w:cs="Calibri"/>
                <w:color w:val="000000"/>
                <w:lang w:eastAsia="cs-CZ"/>
              </w:rPr>
              <w:t>2 5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Kč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8085B" w:rsidRPr="00BB3E2E" w:rsidRDefault="00C8085B" w:rsidP="00784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5B" w:rsidRPr="00BB3E2E" w:rsidRDefault="00C8085B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1</w:t>
            </w:r>
            <w:r w:rsidR="006362A5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362A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BB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Kč </w:t>
            </w:r>
          </w:p>
        </w:tc>
      </w:tr>
      <w:tr w:rsidR="00784F6C" w:rsidRPr="008B4761" w:rsidTr="00784F6C">
        <w:trPr>
          <w:trHeight w:val="288"/>
        </w:trPr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6C" w:rsidRPr="008B4761" w:rsidRDefault="00784F6C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B476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Celkem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F6C" w:rsidRPr="008B4761" w:rsidRDefault="00784F6C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B476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47</w:t>
            </w: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F6C" w:rsidRPr="008B4761" w:rsidRDefault="00784F6C" w:rsidP="00B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F6C" w:rsidRPr="008B4761" w:rsidRDefault="00784F6C" w:rsidP="00784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B476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147 600 Kč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F6C" w:rsidRPr="008B4761" w:rsidRDefault="00784F6C" w:rsidP="00784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B476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18 675 Kč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F6C" w:rsidRPr="008B4761" w:rsidRDefault="00784F6C" w:rsidP="00784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B476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18 000 Kč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F6C" w:rsidRPr="008B4761" w:rsidRDefault="00784F6C" w:rsidP="00784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B476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110 925 Kč</w:t>
            </w:r>
          </w:p>
        </w:tc>
      </w:tr>
    </w:tbl>
    <w:p w:rsidR="00D07E36" w:rsidRPr="00BB3E2E" w:rsidRDefault="00BB3E2E" w:rsidP="00A16EF1">
      <w:pPr>
        <w:spacing w:after="0"/>
        <w:jc w:val="both"/>
        <w:rPr>
          <w:i/>
          <w:sz w:val="20"/>
        </w:rPr>
      </w:pPr>
      <w:r w:rsidRPr="00BB3E2E">
        <w:rPr>
          <w:i/>
          <w:sz w:val="20"/>
        </w:rPr>
        <w:t>Zdroj: náklady externě na http://www.renc-eler.cz/konzultantske.htm</w:t>
      </w:r>
    </w:p>
    <w:p w:rsidR="00D07E36" w:rsidRPr="00777F0D" w:rsidRDefault="008C6CC1" w:rsidP="00A16EF1">
      <w:pPr>
        <w:spacing w:after="0"/>
        <w:jc w:val="both"/>
        <w:rPr>
          <w:i/>
          <w:sz w:val="20"/>
        </w:rPr>
      </w:pPr>
      <w:r w:rsidRPr="00777F0D">
        <w:rPr>
          <w:i/>
          <w:sz w:val="20"/>
        </w:rPr>
        <w:t>* úspora na jednoho účastníka</w:t>
      </w:r>
      <w:r w:rsidR="003A0C83" w:rsidRPr="00777F0D">
        <w:rPr>
          <w:i/>
          <w:sz w:val="20"/>
        </w:rPr>
        <w:t xml:space="preserve"> obou</w:t>
      </w:r>
      <w:r w:rsidRPr="00777F0D">
        <w:rPr>
          <w:i/>
          <w:sz w:val="20"/>
        </w:rPr>
        <w:t xml:space="preserve"> školení</w:t>
      </w:r>
      <w:r w:rsidR="00777F0D" w:rsidRPr="00777F0D">
        <w:rPr>
          <w:i/>
          <w:sz w:val="20"/>
        </w:rPr>
        <w:t>, cena je uvedena od společnosti Osigeno</w:t>
      </w:r>
    </w:p>
    <w:p w:rsidR="00712388" w:rsidRDefault="00712388" w:rsidP="00712388">
      <w:pPr>
        <w:pStyle w:val="Nadpis1"/>
        <w:spacing w:before="120"/>
        <w:rPr>
          <w:b/>
        </w:rPr>
      </w:pPr>
      <w:bookmarkStart w:id="8" w:name="_Toc2249856"/>
      <w:r w:rsidRPr="00A16EF1">
        <w:rPr>
          <w:b/>
        </w:rPr>
        <w:lastRenderedPageBreak/>
        <w:t xml:space="preserve">Zhodnocení </w:t>
      </w:r>
      <w:r w:rsidR="005D5CED">
        <w:rPr>
          <w:b/>
        </w:rPr>
        <w:t>přínosů v oblasti VZ</w:t>
      </w:r>
      <w:bookmarkEnd w:id="8"/>
    </w:p>
    <w:p w:rsidR="007913BB" w:rsidRPr="007913BB" w:rsidRDefault="007913BB" w:rsidP="00346E57">
      <w:pPr>
        <w:jc w:val="both"/>
        <w:rPr>
          <w:sz w:val="24"/>
        </w:rPr>
      </w:pPr>
      <w:r w:rsidRPr="007913BB">
        <w:rPr>
          <w:sz w:val="24"/>
        </w:rPr>
        <w:t xml:space="preserve">Přínos této agendy pro </w:t>
      </w:r>
      <w:r w:rsidR="00346E57">
        <w:rPr>
          <w:sz w:val="24"/>
        </w:rPr>
        <w:t>Mikroregion Bystřicko a jeho členské obce je zcela zřejmý, dříve si tuto agendu musely obce zajištovat buď zcela samy</w:t>
      </w:r>
      <w:r w:rsidR="00E446AC">
        <w:rPr>
          <w:sz w:val="24"/>
        </w:rPr>
        <w:t>,</w:t>
      </w:r>
      <w:r w:rsidR="00346E57">
        <w:rPr>
          <w:sz w:val="24"/>
        </w:rPr>
        <w:t xml:space="preserve"> nebo si na ni najímat externí firmy</w:t>
      </w:r>
      <w:r w:rsidR="00D67462">
        <w:rPr>
          <w:sz w:val="24"/>
        </w:rPr>
        <w:t>, které za zpracování i konzultace požadují nemalé částky</w:t>
      </w:r>
      <w:r w:rsidR="00346E57">
        <w:rPr>
          <w:sz w:val="24"/>
        </w:rPr>
        <w:t>. Dnes mají obce možnost výběrů – zejména pokud jde zpracování zakázek mimo režim zákona</w:t>
      </w:r>
      <w:r w:rsidR="00D67462">
        <w:rPr>
          <w:sz w:val="24"/>
        </w:rPr>
        <w:t xml:space="preserve"> a poradenství či metodickou pomoc z dané oblasti obecně</w:t>
      </w:r>
      <w:r w:rsidR="00346E57">
        <w:rPr>
          <w:sz w:val="24"/>
        </w:rPr>
        <w:t>.</w:t>
      </w:r>
      <w:r w:rsidR="00D67462">
        <w:rPr>
          <w:sz w:val="24"/>
        </w:rPr>
        <w:t xml:space="preserve"> Pochopitelně zkušenosti CSS nejsou zatím v této oblasti natolik rozsáhlé, abychom zpracovávali VZ v režimu zákona, ale i to se časem může změnit. Ideální by v tomto případě bylo, mít na tuto službu zaměstnaného specialistu, vše však záleží na tom, do jaké míry se služba rozšíří a bude ze strany obcí poptávána. Dle tabulky</w:t>
      </w:r>
      <w:r w:rsidR="009A08B4">
        <w:rPr>
          <w:sz w:val="24"/>
        </w:rPr>
        <w:t xml:space="preserve"> uvedené</w:t>
      </w:r>
      <w:r w:rsidR="00D67462">
        <w:rPr>
          <w:sz w:val="24"/>
        </w:rPr>
        <w:t xml:space="preserve"> výše je však patrné, že agenda postupně narůstá a stává se běžnou součástí poskytovaných služeb ze strany svazku směrem k obcím. To že služba začíná být obcemi využívána s sebou nese i jisté finanční úspory, které lze </w:t>
      </w:r>
      <w:r w:rsidR="003306EC">
        <w:rPr>
          <w:sz w:val="24"/>
        </w:rPr>
        <w:t xml:space="preserve">od vzniku agendy </w:t>
      </w:r>
      <w:r w:rsidR="00D67462">
        <w:rPr>
          <w:sz w:val="24"/>
        </w:rPr>
        <w:t xml:space="preserve">vyčíslit částkou 110 925 Kč, což není rozhodně zanedbatelné číslo. </w:t>
      </w:r>
    </w:p>
    <w:p w:rsidR="00712388" w:rsidRPr="005B7A80" w:rsidRDefault="00712388" w:rsidP="00A16EF1">
      <w:pPr>
        <w:spacing w:after="0"/>
        <w:jc w:val="both"/>
        <w:rPr>
          <w:sz w:val="24"/>
        </w:rPr>
      </w:pPr>
    </w:p>
    <w:p w:rsidR="0096497C" w:rsidRPr="00A16EF1" w:rsidRDefault="0096497C" w:rsidP="00A16EF1">
      <w:pPr>
        <w:pStyle w:val="Nadpis1"/>
        <w:spacing w:before="120"/>
        <w:rPr>
          <w:b/>
        </w:rPr>
      </w:pPr>
      <w:bookmarkStart w:id="9" w:name="_Toc2249857"/>
      <w:r w:rsidRPr="00A16EF1">
        <w:rPr>
          <w:b/>
        </w:rPr>
        <w:t xml:space="preserve">Zhodnocení </w:t>
      </w:r>
      <w:r w:rsidR="00EA11C5">
        <w:rPr>
          <w:b/>
        </w:rPr>
        <w:t xml:space="preserve">celkových </w:t>
      </w:r>
      <w:r w:rsidRPr="00A16EF1">
        <w:rPr>
          <w:b/>
        </w:rPr>
        <w:t xml:space="preserve">přínosů CSS </w:t>
      </w:r>
      <w:r w:rsidR="00EA11C5">
        <w:rPr>
          <w:b/>
        </w:rPr>
        <w:t>ze všech analýz</w:t>
      </w:r>
      <w:bookmarkEnd w:id="9"/>
    </w:p>
    <w:p w:rsidR="00CE514C" w:rsidRDefault="004D41BC" w:rsidP="00C5789F">
      <w:pPr>
        <w:jc w:val="both"/>
        <w:rPr>
          <w:sz w:val="24"/>
        </w:rPr>
      </w:pPr>
      <w:r>
        <w:rPr>
          <w:sz w:val="24"/>
        </w:rPr>
        <w:t xml:space="preserve">Od zahájení projektu CSS naše DSO </w:t>
      </w:r>
      <w:r w:rsidR="00CE514C">
        <w:rPr>
          <w:sz w:val="24"/>
        </w:rPr>
        <w:t xml:space="preserve">značně rozšířilo škálu poskytovaných služeb. Nově </w:t>
      </w:r>
      <w:r w:rsidR="00E00B48">
        <w:rPr>
          <w:sz w:val="24"/>
        </w:rPr>
        <w:t>zajišťujeme</w:t>
      </w:r>
      <w:r w:rsidR="00780C7E">
        <w:rPr>
          <w:sz w:val="24"/>
        </w:rPr>
        <w:t>, kromě níže a výše uvedeného,</w:t>
      </w:r>
      <w:r w:rsidR="00E00B48">
        <w:rPr>
          <w:sz w:val="24"/>
        </w:rPr>
        <w:t xml:space="preserve"> vypracovávání různých dokumentů, smluv, strategických plánů a dalšího. V loňském roce byl v rámci CSS vypracován strategický plán rozvoje sportu pro všechny členské obce, tento dokument je důležitý při žádostech o dotace na opravy sportovišť. Díky CSS také vydáváme pravidelně pro veřejnost informační zpravodaj, kde občan nalezne informace o činnosti CSS, také o připravovaných akcí na nadcházející 3-4 měsíce, základní kontakty na jednotlivé obce i lékaře. </w:t>
      </w:r>
    </w:p>
    <w:p w:rsidR="00C32ACC" w:rsidRDefault="00C32ACC" w:rsidP="00C5789F">
      <w:pPr>
        <w:jc w:val="both"/>
        <w:rPr>
          <w:sz w:val="24"/>
        </w:rPr>
      </w:pPr>
      <w:r>
        <w:rPr>
          <w:sz w:val="24"/>
        </w:rPr>
        <w:t xml:space="preserve">V rámci CSS vznikla také možnost financování společného pověřence pro ochranu osobních údajů a také částečný úvazek pro specialistu na veřejné zakázky. </w:t>
      </w:r>
    </w:p>
    <w:p w:rsidR="00D0206E" w:rsidRDefault="00C32ACC" w:rsidP="00C5789F">
      <w:pPr>
        <w:jc w:val="both"/>
        <w:rPr>
          <w:sz w:val="24"/>
        </w:rPr>
      </w:pPr>
      <w:r>
        <w:rPr>
          <w:sz w:val="24"/>
        </w:rPr>
        <w:t xml:space="preserve">V rámci CSS probíhá také školení zaměstnanců centra, poté jsou získané informace poskytovány dále starostům. Což je velmi výhodné pro obce jak z časového, tak i z finančního hlediska. I naše DSO se dříve potýkalo s nedostatkem aktuálních informací, které jsou třeba pro správný chod obcí i svazku jako celku. To se však rapidně zlepšilo díky projektu CSS, kde jsou témata školení vybírána dle poptávky z území a aktuálních změn. Máme tedy kvalitní a aktuální informace pro své obce, ale i </w:t>
      </w:r>
      <w:r w:rsidR="007645C0">
        <w:rPr>
          <w:sz w:val="24"/>
        </w:rPr>
        <w:t xml:space="preserve">možnost se </w:t>
      </w:r>
      <w:r>
        <w:rPr>
          <w:sz w:val="24"/>
        </w:rPr>
        <w:t xml:space="preserve">na </w:t>
      </w:r>
      <w:r w:rsidR="007645C0">
        <w:rPr>
          <w:sz w:val="24"/>
        </w:rPr>
        <w:t>ně</w:t>
      </w:r>
      <w:r>
        <w:rPr>
          <w:sz w:val="24"/>
        </w:rPr>
        <w:t xml:space="preserve">koho </w:t>
      </w:r>
      <w:r w:rsidR="00E133E5">
        <w:rPr>
          <w:sz w:val="24"/>
        </w:rPr>
        <w:t xml:space="preserve">obrátit </w:t>
      </w:r>
      <w:r>
        <w:rPr>
          <w:sz w:val="24"/>
        </w:rPr>
        <w:t>v případě dotazů.</w:t>
      </w:r>
    </w:p>
    <w:p w:rsidR="00E133E5" w:rsidRDefault="00E133E5" w:rsidP="00C5789F">
      <w:pPr>
        <w:jc w:val="both"/>
        <w:rPr>
          <w:sz w:val="24"/>
        </w:rPr>
      </w:pPr>
      <w:r>
        <w:rPr>
          <w:sz w:val="24"/>
        </w:rPr>
        <w:t>Významnou kapitolou je dotační poradenství obecně, které je nyní na vysoké úrovni nejen do počtu zpracovaných žádostí a poskytnutého poradenství, ale také co se týče rozsahu služeb</w:t>
      </w:r>
      <w:r w:rsidR="00721E0E">
        <w:rPr>
          <w:sz w:val="24"/>
        </w:rPr>
        <w:t xml:space="preserve"> a </w:t>
      </w:r>
      <w:r>
        <w:rPr>
          <w:sz w:val="24"/>
        </w:rPr>
        <w:t>úspěšnosti v získávání dotací</w:t>
      </w:r>
      <w:r w:rsidR="00721E0E">
        <w:rPr>
          <w:sz w:val="24"/>
        </w:rPr>
        <w:t xml:space="preserve">. </w:t>
      </w:r>
      <w:r>
        <w:rPr>
          <w:sz w:val="24"/>
        </w:rPr>
        <w:t xml:space="preserve"> </w:t>
      </w:r>
    </w:p>
    <w:p w:rsidR="00407961" w:rsidRDefault="00407961" w:rsidP="00C5789F">
      <w:pPr>
        <w:jc w:val="both"/>
        <w:rPr>
          <w:sz w:val="24"/>
        </w:rPr>
      </w:pPr>
    </w:p>
    <w:p w:rsidR="000B29E5" w:rsidRPr="007120EE" w:rsidRDefault="00EB7E2F" w:rsidP="00FB563E">
      <w:pPr>
        <w:pStyle w:val="Nadpis1"/>
        <w:rPr>
          <w:b/>
        </w:rPr>
      </w:pPr>
      <w:bookmarkStart w:id="10" w:name="_Toc2249858"/>
      <w:r w:rsidRPr="007120EE">
        <w:rPr>
          <w:b/>
        </w:rPr>
        <w:lastRenderedPageBreak/>
        <w:t>Příklad</w:t>
      </w:r>
      <w:r w:rsidR="000A2C3B" w:rsidRPr="007120EE">
        <w:rPr>
          <w:b/>
        </w:rPr>
        <w:t>y</w:t>
      </w:r>
      <w:r w:rsidRPr="007120EE">
        <w:rPr>
          <w:b/>
        </w:rPr>
        <w:t xml:space="preserve"> úspor v rámci fungování CSS</w:t>
      </w:r>
      <w:bookmarkEnd w:id="10"/>
    </w:p>
    <w:p w:rsidR="00991BD0" w:rsidRPr="00991BD0" w:rsidRDefault="00991BD0" w:rsidP="00FB563E">
      <w:pPr>
        <w:pStyle w:val="Nadpis2"/>
      </w:pPr>
      <w:bookmarkStart w:id="11" w:name="_Toc2249859"/>
      <w:r w:rsidRPr="00991BD0">
        <w:t xml:space="preserve">Pravidelné setkávání zástupců obcí </w:t>
      </w:r>
      <w:r w:rsidR="00721E0E">
        <w:t xml:space="preserve">- </w:t>
      </w:r>
      <w:r w:rsidRPr="00991BD0">
        <w:t>2016</w:t>
      </w:r>
      <w:bookmarkEnd w:id="11"/>
    </w:p>
    <w:p w:rsidR="00E133E5" w:rsidRDefault="00991BD0" w:rsidP="00991BD0">
      <w:pPr>
        <w:jc w:val="both"/>
        <w:rPr>
          <w:sz w:val="24"/>
        </w:rPr>
      </w:pPr>
      <w:r w:rsidRPr="009D2810">
        <w:rPr>
          <w:b/>
          <w:sz w:val="24"/>
        </w:rPr>
        <w:t>1)</w:t>
      </w:r>
      <w:r>
        <w:rPr>
          <w:sz w:val="24"/>
        </w:rPr>
        <w:t xml:space="preserve"> Školení „Správní řád“ v Olomouci v trvání 4 hodin čistého času + čas strávený na cestě cca 2 hodiny/ 1 cesta. Finanční náročnost pro obce je nulová, protože školení se účastní zaměstnanci CSS v rámci své pracovní doby.</w:t>
      </w:r>
    </w:p>
    <w:p w:rsidR="00991BD0" w:rsidRDefault="00991BD0" w:rsidP="00991BD0">
      <w:pPr>
        <w:jc w:val="both"/>
        <w:rPr>
          <w:sz w:val="24"/>
        </w:rPr>
      </w:pPr>
      <w:r>
        <w:rPr>
          <w:sz w:val="24"/>
        </w:rPr>
        <w:t xml:space="preserve">Podobné školení na správní řád od společnosti EDUCITY je možné absolvovat v Brně. Časová náročnost tohoto školení je 5 hodin čistého času školení + čas strávený na cestě 1 hodina/ 1 cesta. Toto školení stojí 1488 Kč bez DPH. </w:t>
      </w:r>
    </w:p>
    <w:p w:rsidR="00991BD0" w:rsidRDefault="00991BD0" w:rsidP="00991BD0">
      <w:pPr>
        <w:jc w:val="both"/>
        <w:rPr>
          <w:sz w:val="24"/>
        </w:rPr>
      </w:pPr>
      <w:r>
        <w:rPr>
          <w:sz w:val="24"/>
        </w:rPr>
        <w:t>Z hlediska úspory času na tomto konkrétním případě je starostovi ušetřeno cca 7 hodin času. Čas na školení tráví jen zaměstnanci CSS.</w:t>
      </w:r>
    </w:p>
    <w:p w:rsidR="00991BD0" w:rsidRPr="005B7A80" w:rsidRDefault="00991BD0" w:rsidP="00991BD0">
      <w:pPr>
        <w:jc w:val="both"/>
        <w:rPr>
          <w:sz w:val="24"/>
        </w:rPr>
      </w:pPr>
      <w:r>
        <w:rPr>
          <w:sz w:val="24"/>
        </w:rPr>
        <w:t>Z hlediska úspory finanční bylo každému starostovi ušetřeno více než 1 800 Kč plus cestovné.</w:t>
      </w:r>
    </w:p>
    <w:p w:rsidR="00991BD0" w:rsidRDefault="00991BD0" w:rsidP="00991BD0">
      <w:pPr>
        <w:rPr>
          <w:sz w:val="24"/>
        </w:rPr>
      </w:pPr>
    </w:p>
    <w:p w:rsidR="00991BD0" w:rsidRDefault="00991BD0" w:rsidP="00991BD0">
      <w:pPr>
        <w:jc w:val="both"/>
        <w:rPr>
          <w:sz w:val="24"/>
        </w:rPr>
      </w:pPr>
      <w:r w:rsidRPr="009D2810">
        <w:rPr>
          <w:b/>
          <w:sz w:val="24"/>
        </w:rPr>
        <w:t>2)</w:t>
      </w:r>
      <w:r>
        <w:rPr>
          <w:sz w:val="24"/>
        </w:rPr>
        <w:t xml:space="preserve"> Školení „Zákon o obcích“ v podobě e-learningu, které pro nás SMO připravilo, mělo časovou dotaci 10 hodin. Tím, že šlo o e-learning nebyl zde žádný finanční náklad.</w:t>
      </w:r>
    </w:p>
    <w:p w:rsidR="00991BD0" w:rsidRDefault="00991BD0" w:rsidP="00991BD0">
      <w:pPr>
        <w:jc w:val="both"/>
        <w:rPr>
          <w:sz w:val="24"/>
        </w:rPr>
      </w:pPr>
      <w:r>
        <w:rPr>
          <w:sz w:val="24"/>
        </w:rPr>
        <w:t xml:space="preserve">Podobné školení na zákon o obcích od společnosti EDUCITY je možné absolvovat v Ostravě. Časová náročnost tohoto školení je 5 hodin čistého času školení + čas strávený na cestě 2,5 hodiny/ 1 cesta. Toto školení stojí 1488 Kč bez DPH. </w:t>
      </w:r>
    </w:p>
    <w:p w:rsidR="00991BD0" w:rsidRDefault="00991BD0" w:rsidP="00991BD0">
      <w:pPr>
        <w:jc w:val="both"/>
        <w:rPr>
          <w:sz w:val="24"/>
        </w:rPr>
      </w:pPr>
      <w:r>
        <w:rPr>
          <w:sz w:val="24"/>
        </w:rPr>
        <w:t>Z hlediska úspory času na tomto konkrétním případě je starostovi ušetřeno 10 hodin času. Čas na školení tráví jen zaměstnanci CSS.</w:t>
      </w:r>
    </w:p>
    <w:p w:rsidR="00991BD0" w:rsidRPr="005B7A80" w:rsidRDefault="00991BD0" w:rsidP="00991BD0">
      <w:pPr>
        <w:jc w:val="both"/>
        <w:rPr>
          <w:sz w:val="24"/>
        </w:rPr>
      </w:pPr>
      <w:r>
        <w:rPr>
          <w:sz w:val="24"/>
        </w:rPr>
        <w:t>Z hlediska úspory finanční bylo každému starostovi ušetřeno více než 1 800 Kč plus cestovné.</w:t>
      </w:r>
    </w:p>
    <w:p w:rsidR="00991BD0" w:rsidRDefault="00991BD0" w:rsidP="00991BD0">
      <w:pPr>
        <w:rPr>
          <w:sz w:val="24"/>
        </w:rPr>
      </w:pPr>
    </w:p>
    <w:p w:rsidR="00991BD0" w:rsidRDefault="00991BD0" w:rsidP="00991BD0">
      <w:pPr>
        <w:jc w:val="both"/>
        <w:rPr>
          <w:sz w:val="24"/>
        </w:rPr>
      </w:pPr>
      <w:r w:rsidRPr="009D2810">
        <w:rPr>
          <w:b/>
          <w:sz w:val="24"/>
        </w:rPr>
        <w:t>3)</w:t>
      </w:r>
      <w:r>
        <w:rPr>
          <w:sz w:val="24"/>
        </w:rPr>
        <w:t xml:space="preserve"> Školení „Dotační management“ v Olomouci v trvání 4 hodin čistého času + čas strávený na cestě cca 2 hodiny/ 1 cesta. Finanční náročnost pro obce je nulová, protože školení se účastní zaměstnanci CSS v rámci své pracovní doby.</w:t>
      </w:r>
    </w:p>
    <w:p w:rsidR="00991BD0" w:rsidRDefault="00991BD0" w:rsidP="00991BD0">
      <w:pPr>
        <w:jc w:val="both"/>
        <w:rPr>
          <w:sz w:val="24"/>
        </w:rPr>
      </w:pPr>
      <w:r>
        <w:rPr>
          <w:sz w:val="24"/>
        </w:rPr>
        <w:t xml:space="preserve">Podobné školení na poskytování dotací od společnosti EDUCITY je možné absolvovat v Praze. Časová náročnost tohoto školení je 5 hodin čistého času školení + čas strávený na cestě 2 hodiny/ 1 cesta. Toto školení stojí 2190 Kč bez DPH. </w:t>
      </w:r>
    </w:p>
    <w:p w:rsidR="00991BD0" w:rsidRDefault="00991BD0" w:rsidP="00991BD0">
      <w:pPr>
        <w:jc w:val="both"/>
        <w:rPr>
          <w:sz w:val="24"/>
        </w:rPr>
      </w:pPr>
      <w:r>
        <w:rPr>
          <w:sz w:val="24"/>
        </w:rPr>
        <w:t>Z hlediska úspory času na tomto konkrétním případě je starostovi ušetřeno 9 hodin času. Čas na školení tráví jen zaměstnanci CSS.</w:t>
      </w:r>
    </w:p>
    <w:p w:rsidR="00991BD0" w:rsidRPr="005B7A80" w:rsidRDefault="00991BD0" w:rsidP="00991BD0">
      <w:pPr>
        <w:jc w:val="both"/>
        <w:rPr>
          <w:sz w:val="24"/>
        </w:rPr>
      </w:pPr>
      <w:r>
        <w:rPr>
          <w:sz w:val="24"/>
        </w:rPr>
        <w:t>Z hlediska úspory finanční bylo každému starostovi ušetřeno více než 2 500 Kč plus cestovné.</w:t>
      </w:r>
    </w:p>
    <w:p w:rsidR="00407961" w:rsidRDefault="00407961">
      <w:pPr>
        <w:rPr>
          <w:b/>
          <w:sz w:val="24"/>
        </w:rPr>
      </w:pPr>
    </w:p>
    <w:p w:rsidR="00721E0E" w:rsidRDefault="00721E0E">
      <w:pPr>
        <w:rPr>
          <w:b/>
          <w:sz w:val="24"/>
        </w:rPr>
      </w:pPr>
    </w:p>
    <w:p w:rsidR="002669D2" w:rsidRDefault="00342E01" w:rsidP="00FB563E">
      <w:pPr>
        <w:pStyle w:val="Nadpis2"/>
      </w:pPr>
      <w:bookmarkStart w:id="12" w:name="_Toc2249860"/>
      <w:r w:rsidRPr="00991BD0">
        <w:lastRenderedPageBreak/>
        <w:t>Dotačn</w:t>
      </w:r>
      <w:r w:rsidR="00991BD0" w:rsidRPr="00991BD0">
        <w:t>í poradenství za rok 2017</w:t>
      </w:r>
      <w:bookmarkEnd w:id="12"/>
    </w:p>
    <w:p w:rsidR="00991BD0" w:rsidRPr="009F340C" w:rsidRDefault="00991BD0" w:rsidP="00FB563E">
      <w:pPr>
        <w:pStyle w:val="Nadpis3"/>
      </w:pPr>
      <w:bookmarkStart w:id="13" w:name="_Toc508869353"/>
      <w:bookmarkStart w:id="14" w:name="_Toc2249861"/>
      <w:r w:rsidRPr="009F340C">
        <w:t xml:space="preserve">1) </w:t>
      </w:r>
      <w:r w:rsidRPr="00FB563E">
        <w:t>Personální přínos:</w:t>
      </w:r>
      <w:bookmarkEnd w:id="13"/>
      <w:bookmarkEnd w:id="14"/>
      <w:r w:rsidRPr="009F340C">
        <w:t xml:space="preserve"> </w:t>
      </w:r>
    </w:p>
    <w:p w:rsidR="00991BD0" w:rsidRPr="00721E0E" w:rsidRDefault="00991BD0" w:rsidP="00991BD0">
      <w:pPr>
        <w:jc w:val="both"/>
        <w:rPr>
          <w:sz w:val="24"/>
        </w:rPr>
      </w:pPr>
      <w:r w:rsidRPr="00721E0E">
        <w:rPr>
          <w:sz w:val="24"/>
        </w:rPr>
        <w:t xml:space="preserve">Zpracování žádostí: V roce 2017 jsme zpracovali žádosti celkem pro 11 obcí – v průměru 2 pro každou z nich, což přináší úsporu v rámci personálních zdrojů obcí. Pokud by si obce žádosti zpracovaly samy, muselo by se jimi zabývat celkem asi 22 osob (starosta i účetní), takto se jim primárně věnoval pouze jeden zaměstnanec CSS. </w:t>
      </w:r>
    </w:p>
    <w:p w:rsidR="00991BD0" w:rsidRPr="00721E0E" w:rsidRDefault="00991BD0" w:rsidP="00991BD0">
      <w:pPr>
        <w:jc w:val="both"/>
        <w:rPr>
          <w:sz w:val="24"/>
        </w:rPr>
      </w:pPr>
      <w:r w:rsidRPr="00721E0E">
        <w:rPr>
          <w:sz w:val="24"/>
        </w:rPr>
        <w:t xml:space="preserve">Dotační poradenství: V případě monitoringu dotačních příležitostí a dotačního poradenství, se této problematice věnovali pouze 2 zaměstnanci CSS, kteří obce pravidelně informovali o nových výzvách a poskytovali jim dotační poradenství a konzultace v této problematice. Vyjdeme-li z toho, že bylo uskutečněno 82 aktivit odborného dotačního poradenství a vydáno 12 dotačních katalogů, dostaneme celkem 94 aktivit (v průměru 2,5 aktivity na jednu obec z DSO), kterými by se jinak musely zabývat samy obce a jejich zaměstnanci. </w:t>
      </w:r>
    </w:p>
    <w:p w:rsidR="00991BD0" w:rsidRPr="00FB563E" w:rsidRDefault="00991BD0" w:rsidP="00FB563E">
      <w:pPr>
        <w:pStyle w:val="Nadpis3"/>
      </w:pPr>
      <w:bookmarkStart w:id="15" w:name="_Toc508869354"/>
      <w:bookmarkStart w:id="16" w:name="_Toc2249862"/>
      <w:r w:rsidRPr="009F340C">
        <w:t xml:space="preserve">2) </w:t>
      </w:r>
      <w:r w:rsidRPr="00FB563E">
        <w:t>Časový přínos:</w:t>
      </w:r>
      <w:bookmarkEnd w:id="15"/>
      <w:bookmarkEnd w:id="16"/>
    </w:p>
    <w:p w:rsidR="00991BD0" w:rsidRPr="00721E0E" w:rsidRDefault="00991BD0" w:rsidP="00991BD0">
      <w:pPr>
        <w:jc w:val="both"/>
        <w:rPr>
          <w:sz w:val="24"/>
        </w:rPr>
      </w:pPr>
      <w:r w:rsidRPr="00721E0E">
        <w:rPr>
          <w:sz w:val="24"/>
        </w:rPr>
        <w:t xml:space="preserve">Zpracování žádostí: V průměru zpracování jedné žádosti včetně všech příloh trvá cca 2-3 dny, tzn. 16-24 pracovních hodin, pak je časová úspora pro obce za rok 2017 celkem 320-480 hodin, tzn. 40-60 pracovních dnů. V rámci této úspory se obce mohou věnovat jiným činnostem, vznikají tedy efektivnější podmínky pro výkon veřejné správy. </w:t>
      </w:r>
    </w:p>
    <w:p w:rsidR="00991BD0" w:rsidRPr="00721E0E" w:rsidRDefault="00991BD0" w:rsidP="00991BD0">
      <w:pPr>
        <w:jc w:val="both"/>
        <w:rPr>
          <w:sz w:val="24"/>
        </w:rPr>
      </w:pPr>
      <w:r w:rsidRPr="00721E0E">
        <w:rPr>
          <w:sz w:val="24"/>
        </w:rPr>
        <w:t xml:space="preserve">Dotační poradenství: Přípravou dotačního katalogu stráví zaměstnanec CSS v průměru jeden pracovní den, tzn. 8 hodin. Celkem tedy 96 hodin, což je 12 dní v roce.  Časový odhad v rámci aktivit dotačního poradenství lze odhadnout v průměru na 1 hodinu na 1 aktivitu (kontrola žádosti včetně příloh, pomoc s administrací přidělené dotace, vypracování podkladů, pomoc se závěrečnou zprávou, administrace dotace v elektronickém systému apod.). Tzn. že bylo obcím ušetřeno dalších cca 82 hodin, což je něco přes 10 pracovních dnů. Celková úspora je 178 hodin. </w:t>
      </w:r>
    </w:p>
    <w:p w:rsidR="00991BD0" w:rsidRPr="007251F6" w:rsidRDefault="00991BD0" w:rsidP="00721E0E">
      <w:pPr>
        <w:pStyle w:val="Nadpis3"/>
      </w:pPr>
      <w:bookmarkStart w:id="17" w:name="_Toc508869355"/>
      <w:bookmarkStart w:id="18" w:name="_Toc2249863"/>
      <w:r w:rsidRPr="007251F6">
        <w:t>3) Finanční přínos:</w:t>
      </w:r>
      <w:bookmarkEnd w:id="17"/>
      <w:bookmarkEnd w:id="18"/>
    </w:p>
    <w:p w:rsidR="00991BD0" w:rsidRPr="00721E0E" w:rsidRDefault="00991BD0" w:rsidP="00721E0E">
      <w:pPr>
        <w:jc w:val="both"/>
        <w:rPr>
          <w:sz w:val="24"/>
        </w:rPr>
      </w:pPr>
      <w:r w:rsidRPr="00721E0E">
        <w:rPr>
          <w:sz w:val="24"/>
        </w:rPr>
        <w:t xml:space="preserve">Zpracování žádosti: V průměru se u nás na Vysočině pohybuje cena vypracování žádosti ve výši 5 % z dotace. Spočítáme-li požadované finance v rámci všech 20 podaných žádostí (u 3 ještě není rozhodnuto) o dotace, získáme částku ve výši 3 596 797 Kč. Vypočteme-li </w:t>
      </w:r>
      <w:proofErr w:type="gramStart"/>
      <w:r w:rsidRPr="00721E0E">
        <w:rPr>
          <w:sz w:val="24"/>
        </w:rPr>
        <w:t>5%</w:t>
      </w:r>
      <w:proofErr w:type="gramEnd"/>
      <w:r w:rsidRPr="00721E0E">
        <w:rPr>
          <w:sz w:val="24"/>
        </w:rPr>
        <w:t xml:space="preserve"> z této částky, pak získáme sumu 179 840 Kč, což je částka, kterou obce ušetřily za vypracování těchto žádostí. Zohledníme-li ve výpočtu mzdu zaměstnance CSS, která je v průměru 145 Kč/hod., pak musíme z ušetřené částky odečíst ještě sumu ve výši 46 400 – 69 600 Kč, celková úspora by tedy pro starosty znamenala částku ve výši 133 440 – 110 240 Kč.</w:t>
      </w:r>
    </w:p>
    <w:p w:rsidR="00721E0E" w:rsidRDefault="00721E0E" w:rsidP="00991BD0">
      <w:pPr>
        <w:rPr>
          <w:b/>
        </w:rPr>
      </w:pPr>
    </w:p>
    <w:p w:rsidR="00991BD0" w:rsidRPr="00EC034D" w:rsidRDefault="00991BD0" w:rsidP="00EC034D">
      <w:pPr>
        <w:pStyle w:val="Nadpis2"/>
      </w:pPr>
      <w:bookmarkStart w:id="19" w:name="_Toc2249864"/>
      <w:r w:rsidRPr="00EC034D">
        <w:t>GDPR 2018</w:t>
      </w:r>
      <w:bookmarkEnd w:id="19"/>
    </w:p>
    <w:p w:rsidR="00721E0E" w:rsidRPr="00EC034D" w:rsidRDefault="00721E0E" w:rsidP="00EC034D">
      <w:pPr>
        <w:pStyle w:val="Nadpis3"/>
      </w:pPr>
      <w:bookmarkStart w:id="20" w:name="_Toc2237994"/>
      <w:bookmarkStart w:id="21" w:name="_Toc2249865"/>
      <w:r w:rsidRPr="00EC034D">
        <w:t>1) Úspora pro malou obec díky sdílenému pověřenci pro ochranu osobních údajů.</w:t>
      </w:r>
      <w:bookmarkEnd w:id="20"/>
      <w:bookmarkEnd w:id="21"/>
      <w:r w:rsidRPr="00EC034D">
        <w:t xml:space="preserve"> </w:t>
      </w:r>
    </w:p>
    <w:p w:rsidR="00721E0E" w:rsidRDefault="00721E0E" w:rsidP="00721E0E">
      <w:pPr>
        <w:jc w:val="both"/>
        <w:rPr>
          <w:sz w:val="24"/>
        </w:rPr>
      </w:pPr>
      <w:r>
        <w:rPr>
          <w:sz w:val="24"/>
        </w:rPr>
        <w:t xml:space="preserve">Jako vzorová obec pro ukázku úspory byla vybrána obec Blažkov s neuvolněnou starostkou. Zde byla zpracována pouze agenda k obci jako takové. V rámci CSS čerpá služby pověřence obec Blažkov za 5 000 Kč za vstupní audit dat a nyní je již vše hrazeno z projektu CSS. Audit dat </w:t>
      </w:r>
      <w:r>
        <w:rPr>
          <w:sz w:val="24"/>
        </w:rPr>
        <w:lastRenderedPageBreak/>
        <w:t>od komerční firmy byl pro tuto obec nabízen za cenu 20 000 Kč a poté měsíční poplatky za další služby ve výši 2 000 Kč. Roční náklady tedy na služby od firmy by byly ve výši 42 000 Kč (20 000 + 12x2000). Pokud nebereme jako náklad měsíční poplatky, které nyní jdou z projektu CSS je zde roční úspora pro tuto obec 37 000 Kč. Zohledníme-li však i náklad v rámci CSS, pak dostaneme celkovou částku za rok ve výši 9 872 Kč (5000 + 12x406), úspora za tuto jednu obec tedy činí 32 128 Kč.</w:t>
      </w:r>
    </w:p>
    <w:p w:rsidR="00721E0E" w:rsidRPr="005F393C" w:rsidRDefault="00721E0E" w:rsidP="00721E0E">
      <w:pPr>
        <w:pStyle w:val="Nadpis3"/>
      </w:pPr>
      <w:bookmarkStart w:id="22" w:name="_Toc2237995"/>
      <w:bookmarkStart w:id="23" w:name="_Toc2249866"/>
      <w:r w:rsidRPr="005F393C">
        <w:t>2) Úspora pro velkou obec díky sdílenému pověřenci pro ochranu osobních údajů.</w:t>
      </w:r>
      <w:bookmarkEnd w:id="22"/>
      <w:bookmarkEnd w:id="23"/>
      <w:r w:rsidRPr="005F393C">
        <w:t xml:space="preserve"> </w:t>
      </w:r>
    </w:p>
    <w:p w:rsidR="00721E0E" w:rsidRDefault="00721E0E" w:rsidP="00721E0E">
      <w:pPr>
        <w:jc w:val="both"/>
        <w:rPr>
          <w:sz w:val="24"/>
        </w:rPr>
      </w:pPr>
      <w:r>
        <w:rPr>
          <w:sz w:val="24"/>
        </w:rPr>
        <w:t>Jako druhá vzorová obec byla vybrána obce s uvolněným starostou, kde je zpracována i agenda pro základní a mateřskou školu, které jsou součástí obce. Obec Dolní Rožínka čerpá služby pověřence přes CSS za 10 000 Kč za vstupní audit dat a nyní jsou měsíční poplatky hrazeny z projektu CSS. Audit dat od komerční firmy byl pro tuto obec nabízen za cenu 35 000 Kč a poté měsíční poplatky za další služby ve výši 3 500 Kč. Roční náklady na služby od firmy by byly ve výši 77 000 Kč (35 000 + 12x3500). Pokud nebereme jako náklad měsíční poplatky, které nyní jdou z projektu CSS je zde roční úspora pro tuto obec 67 000 Kč. Zohledníme-li však i náklad v rámci CSS, pak dostaneme celkovou částku za rok ve výši 14 872 Kč (10000 + 12x406), úspora za tuto jednu obec tedy činí 62 128 Kč.</w:t>
      </w:r>
    </w:p>
    <w:p w:rsidR="00721E0E" w:rsidRDefault="004331BD" w:rsidP="00721E0E">
      <w:pPr>
        <w:jc w:val="both"/>
        <w:rPr>
          <w:sz w:val="24"/>
        </w:rPr>
      </w:pPr>
      <w:r>
        <w:rPr>
          <w:sz w:val="24"/>
        </w:rPr>
        <w:t>C</w:t>
      </w:r>
      <w:r w:rsidR="00721E0E">
        <w:rPr>
          <w:sz w:val="24"/>
        </w:rPr>
        <w:t>elkové úspory na audit dat pro 36 obcí, které služby sdíleného pověřence čerpají</w:t>
      </w:r>
      <w:r>
        <w:rPr>
          <w:sz w:val="24"/>
        </w:rPr>
        <w:t>,</w:t>
      </w:r>
      <w:r w:rsidR="00721E0E">
        <w:rPr>
          <w:sz w:val="24"/>
        </w:rPr>
        <w:t xml:space="preserve"> j</w:t>
      </w:r>
      <w:r>
        <w:rPr>
          <w:sz w:val="24"/>
        </w:rPr>
        <w:t>sou</w:t>
      </w:r>
      <w:r w:rsidR="00721E0E">
        <w:rPr>
          <w:sz w:val="24"/>
        </w:rPr>
        <w:t xml:space="preserve"> 664 500 Kč. Úspora za měsíční poplatky pro všechny obce činí 73 384 Kč. Ročně obce tedy na měsíčních poplatcích ušetří celkem 880 608 Kč. </w:t>
      </w:r>
    </w:p>
    <w:p w:rsidR="00991BD0" w:rsidRPr="00991BD0" w:rsidRDefault="00991BD0" w:rsidP="00991BD0">
      <w:pPr>
        <w:rPr>
          <w:b/>
          <w:sz w:val="24"/>
        </w:rPr>
      </w:pPr>
    </w:p>
    <w:sectPr w:rsidR="00991BD0" w:rsidRPr="00991BD0" w:rsidSect="00A353D9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DF6" w:rsidRDefault="006D7DF6" w:rsidP="00195F45">
      <w:pPr>
        <w:spacing w:after="0" w:line="240" w:lineRule="auto"/>
      </w:pPr>
      <w:r>
        <w:separator/>
      </w:r>
    </w:p>
  </w:endnote>
  <w:endnote w:type="continuationSeparator" w:id="0">
    <w:p w:rsidR="006D7DF6" w:rsidRDefault="006D7DF6" w:rsidP="0019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DF6" w:rsidRDefault="006D7DF6">
    <w:pPr>
      <w:pStyle w:val="Zpat"/>
    </w:pPr>
  </w:p>
  <w:p w:rsidR="006D7DF6" w:rsidRDefault="006D7DF6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4620260</wp:posOffset>
          </wp:positionH>
          <wp:positionV relativeFrom="paragraph">
            <wp:posOffset>24765</wp:posOffset>
          </wp:positionV>
          <wp:extent cx="1097280" cy="476250"/>
          <wp:effectExtent l="0" t="0" r="7620" b="0"/>
          <wp:wrapThrough wrapText="bothSides">
            <wp:wrapPolygon edited="0">
              <wp:start x="0" y="0"/>
              <wp:lineTo x="0" y="20736"/>
              <wp:lineTo x="21375" y="20736"/>
              <wp:lineTo x="21375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ové mikroregion bystřicko 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Mikroregion Bystřicko</w:t>
    </w:r>
  </w:p>
  <w:p w:rsidR="006D7DF6" w:rsidRDefault="006D7DF6">
    <w:pPr>
      <w:pStyle w:val="Zpat"/>
    </w:pPr>
    <w:r>
      <w:t>Příční 405, Bystřice nad Pernštejnem 593 01</w:t>
    </w:r>
  </w:p>
  <w:p w:rsidR="006D7DF6" w:rsidRDefault="0062517C">
    <w:pPr>
      <w:pStyle w:val="Zpat"/>
    </w:pPr>
    <w:hyperlink r:id="rId2" w:history="1">
      <w:r w:rsidR="006D7DF6" w:rsidRPr="00E463DB">
        <w:rPr>
          <w:rStyle w:val="Hypertextovodkaz"/>
        </w:rPr>
        <w:t>www.regionbystricko.cz</w:t>
      </w:r>
    </w:hyperlink>
    <w:r w:rsidR="006D7DF6">
      <w:t>; mikroregionbystricko@centrum.cz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DF6" w:rsidRDefault="006D7DF6" w:rsidP="00195F45">
      <w:pPr>
        <w:spacing w:after="0" w:line="240" w:lineRule="auto"/>
      </w:pPr>
      <w:r>
        <w:separator/>
      </w:r>
    </w:p>
  </w:footnote>
  <w:footnote w:type="continuationSeparator" w:id="0">
    <w:p w:rsidR="006D7DF6" w:rsidRDefault="006D7DF6" w:rsidP="00195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DF6" w:rsidRDefault="006D7D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5760720" cy="585470"/>
          <wp:effectExtent l="0" t="0" r="0" b="5080"/>
          <wp:wrapThrough wrapText="bothSides">
            <wp:wrapPolygon edited="0">
              <wp:start x="0" y="0"/>
              <wp:lineTo x="0" y="21085"/>
              <wp:lineTo x="21500" y="21085"/>
              <wp:lineTo x="2150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ernobi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7C"/>
    <w:rsid w:val="00030A76"/>
    <w:rsid w:val="00045696"/>
    <w:rsid w:val="000542EE"/>
    <w:rsid w:val="00063F8E"/>
    <w:rsid w:val="00092A1D"/>
    <w:rsid w:val="000A2C3B"/>
    <w:rsid w:val="000B29E5"/>
    <w:rsid w:val="000B5728"/>
    <w:rsid w:val="000B5928"/>
    <w:rsid w:val="000B5F16"/>
    <w:rsid w:val="000B6EA4"/>
    <w:rsid w:val="000C1996"/>
    <w:rsid w:val="000E00E3"/>
    <w:rsid w:val="00102954"/>
    <w:rsid w:val="00107637"/>
    <w:rsid w:val="00127767"/>
    <w:rsid w:val="00134B4E"/>
    <w:rsid w:val="001746BE"/>
    <w:rsid w:val="00195F45"/>
    <w:rsid w:val="001A5326"/>
    <w:rsid w:val="001B13A0"/>
    <w:rsid w:val="001B631C"/>
    <w:rsid w:val="001C20EE"/>
    <w:rsid w:val="001D7659"/>
    <w:rsid w:val="001E6156"/>
    <w:rsid w:val="0023106B"/>
    <w:rsid w:val="002452FE"/>
    <w:rsid w:val="002669D2"/>
    <w:rsid w:val="00275D35"/>
    <w:rsid w:val="002941EC"/>
    <w:rsid w:val="00294BDC"/>
    <w:rsid w:val="002E6AF5"/>
    <w:rsid w:val="003143EE"/>
    <w:rsid w:val="003306EC"/>
    <w:rsid w:val="00332E9C"/>
    <w:rsid w:val="00342E01"/>
    <w:rsid w:val="00346E57"/>
    <w:rsid w:val="003531E9"/>
    <w:rsid w:val="00362947"/>
    <w:rsid w:val="0037350E"/>
    <w:rsid w:val="00383CC3"/>
    <w:rsid w:val="003964E7"/>
    <w:rsid w:val="003A0C83"/>
    <w:rsid w:val="003B0407"/>
    <w:rsid w:val="003D7F0F"/>
    <w:rsid w:val="00407961"/>
    <w:rsid w:val="00412832"/>
    <w:rsid w:val="004331BD"/>
    <w:rsid w:val="0045070A"/>
    <w:rsid w:val="004520DA"/>
    <w:rsid w:val="00456BE4"/>
    <w:rsid w:val="00467246"/>
    <w:rsid w:val="004A1FF4"/>
    <w:rsid w:val="004A7E1C"/>
    <w:rsid w:val="004B2A01"/>
    <w:rsid w:val="004C3902"/>
    <w:rsid w:val="004D41BC"/>
    <w:rsid w:val="004F1AE0"/>
    <w:rsid w:val="005073C8"/>
    <w:rsid w:val="005708E5"/>
    <w:rsid w:val="00597A4C"/>
    <w:rsid w:val="00597C1F"/>
    <w:rsid w:val="005B7A80"/>
    <w:rsid w:val="005C77E9"/>
    <w:rsid w:val="005D5CED"/>
    <w:rsid w:val="005E5EFE"/>
    <w:rsid w:val="005F393C"/>
    <w:rsid w:val="00607013"/>
    <w:rsid w:val="0062517C"/>
    <w:rsid w:val="0063513C"/>
    <w:rsid w:val="006362A5"/>
    <w:rsid w:val="006A7255"/>
    <w:rsid w:val="006D7DF6"/>
    <w:rsid w:val="007120EE"/>
    <w:rsid w:val="00712388"/>
    <w:rsid w:val="00721E0E"/>
    <w:rsid w:val="007333D0"/>
    <w:rsid w:val="007505DA"/>
    <w:rsid w:val="007645C0"/>
    <w:rsid w:val="00775D11"/>
    <w:rsid w:val="00777F0D"/>
    <w:rsid w:val="00780C7E"/>
    <w:rsid w:val="00782AE0"/>
    <w:rsid w:val="00784F6C"/>
    <w:rsid w:val="00787665"/>
    <w:rsid w:val="007913BB"/>
    <w:rsid w:val="007A6928"/>
    <w:rsid w:val="007A780C"/>
    <w:rsid w:val="007B1ACF"/>
    <w:rsid w:val="007D1B95"/>
    <w:rsid w:val="007F2B14"/>
    <w:rsid w:val="008455C6"/>
    <w:rsid w:val="0085042E"/>
    <w:rsid w:val="00886874"/>
    <w:rsid w:val="00893298"/>
    <w:rsid w:val="008A5175"/>
    <w:rsid w:val="008B4761"/>
    <w:rsid w:val="008C6CC1"/>
    <w:rsid w:val="008E25CD"/>
    <w:rsid w:val="009262F7"/>
    <w:rsid w:val="009641D8"/>
    <w:rsid w:val="0096497C"/>
    <w:rsid w:val="00984D11"/>
    <w:rsid w:val="00991BD0"/>
    <w:rsid w:val="009A08B4"/>
    <w:rsid w:val="009A1C81"/>
    <w:rsid w:val="009A56B3"/>
    <w:rsid w:val="009B006F"/>
    <w:rsid w:val="009B60C9"/>
    <w:rsid w:val="009D2810"/>
    <w:rsid w:val="00A04A82"/>
    <w:rsid w:val="00A16EF1"/>
    <w:rsid w:val="00A353D9"/>
    <w:rsid w:val="00A4329B"/>
    <w:rsid w:val="00A54FC6"/>
    <w:rsid w:val="00A57217"/>
    <w:rsid w:val="00A7220A"/>
    <w:rsid w:val="00AD6493"/>
    <w:rsid w:val="00AE1FF0"/>
    <w:rsid w:val="00AE71EB"/>
    <w:rsid w:val="00B00FB8"/>
    <w:rsid w:val="00B13F22"/>
    <w:rsid w:val="00B23C85"/>
    <w:rsid w:val="00B37331"/>
    <w:rsid w:val="00B637FE"/>
    <w:rsid w:val="00B70198"/>
    <w:rsid w:val="00BA045B"/>
    <w:rsid w:val="00BA7762"/>
    <w:rsid w:val="00BB3E2E"/>
    <w:rsid w:val="00BF7D0C"/>
    <w:rsid w:val="00C32ACC"/>
    <w:rsid w:val="00C500B0"/>
    <w:rsid w:val="00C5789F"/>
    <w:rsid w:val="00C8085B"/>
    <w:rsid w:val="00C848E9"/>
    <w:rsid w:val="00C87A70"/>
    <w:rsid w:val="00CC0A11"/>
    <w:rsid w:val="00CC46FF"/>
    <w:rsid w:val="00CD55B7"/>
    <w:rsid w:val="00CE428B"/>
    <w:rsid w:val="00CE514C"/>
    <w:rsid w:val="00D0206E"/>
    <w:rsid w:val="00D07E36"/>
    <w:rsid w:val="00D123CC"/>
    <w:rsid w:val="00D442D5"/>
    <w:rsid w:val="00D62493"/>
    <w:rsid w:val="00D67462"/>
    <w:rsid w:val="00DC4993"/>
    <w:rsid w:val="00E00B48"/>
    <w:rsid w:val="00E032E8"/>
    <w:rsid w:val="00E133E5"/>
    <w:rsid w:val="00E20797"/>
    <w:rsid w:val="00E446AC"/>
    <w:rsid w:val="00E833FB"/>
    <w:rsid w:val="00EA11C5"/>
    <w:rsid w:val="00EA3431"/>
    <w:rsid w:val="00EA4ADD"/>
    <w:rsid w:val="00EB600F"/>
    <w:rsid w:val="00EB7E2F"/>
    <w:rsid w:val="00EC034D"/>
    <w:rsid w:val="00F52A63"/>
    <w:rsid w:val="00F532F9"/>
    <w:rsid w:val="00F5680E"/>
    <w:rsid w:val="00F63A0F"/>
    <w:rsid w:val="00F63F44"/>
    <w:rsid w:val="00F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B93EE3"/>
  <w15:chartTrackingRefBased/>
  <w15:docId w15:val="{4A282253-E3E6-428E-8988-895F9DC9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6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6E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68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F45"/>
  </w:style>
  <w:style w:type="paragraph" w:styleId="Zpat">
    <w:name w:val="footer"/>
    <w:basedOn w:val="Normln"/>
    <w:link w:val="ZpatChar"/>
    <w:uiPriority w:val="99"/>
    <w:unhideWhenUsed/>
    <w:rsid w:val="0019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F45"/>
  </w:style>
  <w:style w:type="character" w:styleId="Hypertextovodkaz">
    <w:name w:val="Hyperlink"/>
    <w:basedOn w:val="Standardnpsmoodstavce"/>
    <w:uiPriority w:val="99"/>
    <w:unhideWhenUsed/>
    <w:rsid w:val="00195F45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6E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A16EF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16E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12776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27767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8868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B37331"/>
    <w:pPr>
      <w:spacing w:after="100"/>
      <w:ind w:left="440"/>
    </w:pPr>
  </w:style>
  <w:style w:type="character" w:styleId="Nevyeenzmnka">
    <w:name w:val="Unresolved Mention"/>
    <w:basedOn w:val="Standardnpsmoodstavce"/>
    <w:uiPriority w:val="99"/>
    <w:semiHidden/>
    <w:unhideWhenUsed/>
    <w:rsid w:val="00750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bystricko.cz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C9F3C-9856-48E1-A120-BB16AE5D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7</Pages>
  <Words>2486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 Bystřicko</cp:lastModifiedBy>
  <cp:revision>154</cp:revision>
  <dcterms:created xsi:type="dcterms:W3CDTF">2017-01-30T13:58:00Z</dcterms:created>
  <dcterms:modified xsi:type="dcterms:W3CDTF">2019-03-13T11:57:00Z</dcterms:modified>
</cp:coreProperties>
</file>